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E200" w14:textId="07E5BDC6" w:rsidR="006E6FDF" w:rsidRDefault="006E6FDF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6E6FDF">
        <w:rPr>
          <w:rFonts w:eastAsiaTheme="minorEastAsia"/>
          <w:b/>
          <w:bCs/>
        </w:rPr>
        <w:t>PROCEDIMIENTO PARA CALCULAR EL TAMAÑO DE MUESTRA</w:t>
      </w:r>
    </w:p>
    <w:p w14:paraId="03E7E42B" w14:textId="64416214" w:rsidR="006E6FDF" w:rsidRPr="006E6FDF" w:rsidRDefault="00C209FE" w:rsidP="00857A88">
      <w:pPr>
        <w:spacing w:after="0" w:line="240" w:lineRule="auto"/>
        <w:jc w:val="center"/>
        <w:rPr>
          <w:rFonts w:eastAsiaTheme="minorEastAsia"/>
          <w:b/>
          <w:bCs/>
        </w:rPr>
      </w:pPr>
      <w:r w:rsidRPr="00C209FE">
        <w:rPr>
          <w:rFonts w:eastAsiaTheme="minorEastAsia"/>
          <w:b/>
          <w:bCs/>
        </w:rPr>
        <w:t>009200260000 COLOMBIA OPINA No 21</w:t>
      </w:r>
    </w:p>
    <w:p w14:paraId="12030EA1" w14:textId="18E77EFF" w:rsidR="006E6FDF" w:rsidRDefault="006E6FDF" w:rsidP="00857A88">
      <w:pPr>
        <w:spacing w:before="240"/>
        <w:rPr>
          <w:rFonts w:eastAsiaTheme="minorEastAsia"/>
        </w:rPr>
      </w:pPr>
      <w:r>
        <w:rPr>
          <w:rFonts w:eastAsiaTheme="minorEastAsia"/>
        </w:rPr>
        <w:t>Para calcular el tamaño de muestra se parte de la fórmula 1</w:t>
      </w:r>
      <w:r w:rsidR="00984091">
        <w:rPr>
          <w:rFonts w:eastAsiaTheme="minorEastAsia"/>
        </w:rPr>
        <w:t>:</w:t>
      </w:r>
    </w:p>
    <w:p w14:paraId="5462FEBB" w14:textId="7D7DB80E" w:rsidR="00073CE7" w:rsidRPr="00496D3F" w:rsidRDefault="00496D3F" w:rsidP="00961974">
      <w:pPr>
        <w:jc w:val="center"/>
        <w:rPr>
          <w:rFonts w:eastAsiaTheme="minorEastAsia"/>
        </w:rPr>
      </w:pPr>
      <m:oMath>
        <m:r>
          <w:rPr>
            <w:rFonts w:ascii="Cambria Math" w:hAnsi="Cambria Math"/>
            <w:sz w:val="28"/>
            <w:szCs w:val="28"/>
          </w:rPr>
          <m:t>n=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p(1-p)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MAS</m:t>
                    </m:r>
                  </m:sub>
                </m:sSub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1-i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1-t</m:t>
                </m:r>
              </m:e>
            </m:d>
          </m:den>
        </m:f>
      </m:oMath>
      <w:r w:rsidR="00961974">
        <w:rPr>
          <w:rFonts w:eastAsiaTheme="minorEastAsia"/>
        </w:rPr>
        <w:t xml:space="preserve"> </w:t>
      </w:r>
    </w:p>
    <w:p w14:paraId="771D899F" w14:textId="77777777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Donde:</w:t>
      </w:r>
    </w:p>
    <w:p w14:paraId="17170062" w14:textId="77777777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es el tamaño de muestra </w:t>
      </w:r>
    </w:p>
    <w:p w14:paraId="766B087C" w14:textId="5C202602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z</m:t>
        </m:r>
      </m:oMath>
      <w:r>
        <w:rPr>
          <w:rFonts w:eastAsiaTheme="minorEastAsia"/>
        </w:rPr>
        <w:t xml:space="preserve"> es el valor z para un nivel de confianza del 95% (1.96)</w:t>
      </w:r>
    </w:p>
    <w:p w14:paraId="5BB03DE9" w14:textId="21C9C943" w:rsidR="00496D3F" w:rsidRDefault="00496D3F">
      <w:pPr>
        <w:rPr>
          <w:rFonts w:eastAsiaTheme="minorEastAsia"/>
        </w:rPr>
      </w:pPr>
      <m:oMath>
        <m:r>
          <w:rPr>
            <w:rFonts w:ascii="Cambria Math" w:hAnsi="Cambria Math"/>
          </w:rPr>
          <m:t>p</m:t>
        </m:r>
      </m:oMath>
      <w:r>
        <w:rPr>
          <w:rFonts w:eastAsiaTheme="minorEastAsia"/>
        </w:rPr>
        <w:t xml:space="preserve"> es la probabilidad de ocurrencia (en este caso se asume 50%)</w:t>
      </w:r>
    </w:p>
    <w:p w14:paraId="527A95E0" w14:textId="5EECED5C" w:rsidR="00FE5AA0" w:rsidRDefault="00FE5AA0">
      <w:pPr>
        <w:rPr>
          <w:rFonts w:eastAsiaTheme="minorEastAsia"/>
        </w:rPr>
      </w:pPr>
      <w:r>
        <w:rPr>
          <w:rFonts w:eastAsiaTheme="minorEastAsia"/>
        </w:rPr>
        <w:t xml:space="preserve">t es la </w:t>
      </w:r>
      <w:r w:rsidR="00857A88">
        <w:rPr>
          <w:rFonts w:eastAsiaTheme="minorEastAsia"/>
        </w:rPr>
        <w:t>tasa</w:t>
      </w:r>
      <w:r>
        <w:rPr>
          <w:rFonts w:eastAsiaTheme="minorEastAsia"/>
        </w:rPr>
        <w:t xml:space="preserve"> de no respuesta</w:t>
      </w:r>
      <w:r w:rsidR="00857A88">
        <w:rPr>
          <w:rFonts w:eastAsiaTheme="minorEastAsia"/>
        </w:rPr>
        <w:t xml:space="preserve"> esperada (en este caso se asume 60%)</w:t>
      </w:r>
      <w:r w:rsidR="00857A88">
        <w:rPr>
          <w:rStyle w:val="Refdenotaalpie"/>
          <w:rFonts w:eastAsiaTheme="minorEastAsia"/>
        </w:rPr>
        <w:footnoteReference w:id="1"/>
      </w:r>
    </w:p>
    <w:p w14:paraId="2A51BC84" w14:textId="24721439" w:rsidR="00FE5AA0" w:rsidRDefault="00FE5AA0">
      <w:pPr>
        <w:rPr>
          <w:rFonts w:eastAsiaTheme="minorEastAsia"/>
        </w:rPr>
      </w:pPr>
      <w:r>
        <w:rPr>
          <w:rFonts w:eastAsiaTheme="minorEastAsia"/>
        </w:rPr>
        <w:t>i es la p</w:t>
      </w:r>
      <w:r w:rsidR="00857A88">
        <w:rPr>
          <w:rFonts w:eastAsiaTheme="minorEastAsia"/>
        </w:rPr>
        <w:t>roporción</w:t>
      </w:r>
      <w:r>
        <w:rPr>
          <w:rFonts w:eastAsiaTheme="minorEastAsia"/>
        </w:rPr>
        <w:t xml:space="preserve"> de indecisos</w:t>
      </w:r>
      <w:r w:rsidR="00857A88">
        <w:rPr>
          <w:rFonts w:eastAsiaTheme="minorEastAsia"/>
        </w:rPr>
        <w:t xml:space="preserve"> esperada (en este caso se asume 20%)</w:t>
      </w:r>
    </w:p>
    <w:p w14:paraId="4DA37751" w14:textId="44F082CE" w:rsidR="00496D3F" w:rsidRDefault="001C3FC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 w:rsidR="00496D3F">
        <w:rPr>
          <w:rFonts w:eastAsiaTheme="minorEastAsia"/>
        </w:rPr>
        <w:t xml:space="preserve"> es el margen de error de un muestreo aleatorio simple</w:t>
      </w:r>
      <w:r w:rsidR="006206D6">
        <w:rPr>
          <w:rFonts w:eastAsiaTheme="minorEastAsia"/>
        </w:rPr>
        <w:t>.</w:t>
      </w:r>
    </w:p>
    <w:p w14:paraId="6FFE90B1" w14:textId="570998CC" w:rsidR="00496D3F" w:rsidRDefault="006206D6">
      <w:pPr>
        <w:rPr>
          <w:rFonts w:eastAsiaTheme="minorEastAsia"/>
        </w:rPr>
      </w:pPr>
      <w:r>
        <w:rPr>
          <w:rFonts w:eastAsiaTheme="minorEastAsia"/>
        </w:rPr>
        <w:t xml:space="preserve">Dado </w:t>
      </w:r>
      <w:r w:rsidR="00496D3F">
        <w:rPr>
          <w:rFonts w:eastAsiaTheme="minorEastAsia"/>
        </w:rPr>
        <w:t xml:space="preserve">que se aplica un muestreo polietápico se debe calcular el margen de error de un </w:t>
      </w:r>
      <w:r w:rsidR="006E6FDF">
        <w:rPr>
          <w:rFonts w:eastAsiaTheme="minorEastAsia"/>
        </w:rPr>
        <w:t>muestreo aleatorio simple</w:t>
      </w:r>
      <w:r w:rsidR="00496D3F">
        <w:rPr>
          <w:rFonts w:eastAsiaTheme="minorEastAsia"/>
        </w:rPr>
        <w:t xml:space="preserve"> que permit</w:t>
      </w:r>
      <w:r>
        <w:rPr>
          <w:rFonts w:eastAsiaTheme="minorEastAsia"/>
        </w:rPr>
        <w:t>a</w:t>
      </w:r>
      <w:r w:rsidR="00496D3F">
        <w:rPr>
          <w:rFonts w:eastAsiaTheme="minorEastAsia"/>
        </w:rPr>
        <w:t xml:space="preserve"> </w:t>
      </w:r>
      <w:r>
        <w:rPr>
          <w:rFonts w:eastAsiaTheme="minorEastAsia"/>
        </w:rPr>
        <w:t>alcanzar un</w:t>
      </w:r>
      <w:r w:rsidR="00496D3F">
        <w:rPr>
          <w:rFonts w:eastAsiaTheme="minorEastAsia"/>
        </w:rPr>
        <w:t xml:space="preserve"> 3% de margen de error de diseño, para ello se utiliza la siguiente formula.</w:t>
      </w:r>
    </w:p>
    <w:p w14:paraId="1D5D5FC3" w14:textId="7DB1BF6A" w:rsidR="00496D3F" w:rsidRPr="00496D3F" w:rsidRDefault="001C3FC5" w:rsidP="0096197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DEFF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DEFF</m:t>
              </m:r>
            </m:e>
          </m:rad>
        </m:oMath>
      </m:oMathPara>
    </w:p>
    <w:p w14:paraId="469986DD" w14:textId="2709390D" w:rsidR="00496D3F" w:rsidRPr="00496D3F" w:rsidRDefault="001C3FC5" w:rsidP="00961974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DEFF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DEFF</m:t>
                </m:r>
              </m:e>
            </m:rad>
          </m:den>
        </m:f>
      </m:oMath>
      <w:r w:rsidR="00961974">
        <w:rPr>
          <w:rFonts w:eastAsiaTheme="minorEastAsia"/>
        </w:rPr>
        <w:t xml:space="preserve"> </w:t>
      </w:r>
    </w:p>
    <w:p w14:paraId="3D5F27CD" w14:textId="13AE1213" w:rsidR="00496D3F" w:rsidRDefault="00496D3F">
      <w:pPr>
        <w:rPr>
          <w:rFonts w:eastAsiaTheme="minorEastAsia"/>
        </w:rPr>
      </w:pPr>
      <w:r>
        <w:rPr>
          <w:rFonts w:eastAsiaTheme="minorEastAsia"/>
        </w:rPr>
        <w:t>Donde</w:t>
      </w:r>
      <w:r w:rsidR="00857A88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</w:p>
    <w:p w14:paraId="155793DA" w14:textId="33AB4397" w:rsidR="00496D3F" w:rsidRDefault="001C3FC5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DEFF</m:t>
            </m:r>
          </m:sub>
        </m:sSub>
      </m:oMath>
      <w:r w:rsidR="00496D3F">
        <w:rPr>
          <w:rFonts w:eastAsiaTheme="minorEastAsia"/>
        </w:rPr>
        <w:t xml:space="preserve"> es el margen de error incorporando el efecto del diseño</w:t>
      </w:r>
    </w:p>
    <w:p w14:paraId="05619CBE" w14:textId="4ED85767" w:rsidR="00496D3F" w:rsidRDefault="00496D3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DEFF</m:t>
        </m:r>
      </m:oMath>
      <w:r>
        <w:rPr>
          <w:rFonts w:eastAsiaTheme="minorEastAsia"/>
        </w:rPr>
        <w:t xml:space="preserve"> es el efecto de diseño. En este caso se asumió </w:t>
      </w:r>
      <w:r w:rsidR="00961974">
        <w:rPr>
          <w:rFonts w:eastAsiaTheme="minorEastAsia"/>
        </w:rPr>
        <w:t>1.</w:t>
      </w:r>
      <w:r w:rsidR="00FE5AA0">
        <w:rPr>
          <w:rFonts w:eastAsiaTheme="minorEastAsia"/>
        </w:rPr>
        <w:t>67</w:t>
      </w:r>
      <w:r w:rsidR="00F46B53">
        <w:rPr>
          <w:rStyle w:val="Refdenotaalpie"/>
          <w:rFonts w:eastAsiaTheme="minorEastAsia"/>
        </w:rPr>
        <w:footnoteReference w:id="2"/>
      </w:r>
    </w:p>
    <w:p w14:paraId="7AE2A52E" w14:textId="4AFE7B35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Por ende, el margen de error de muestreo aleatorio simple necesario para </w:t>
      </w:r>
      <w:r w:rsidR="006206D6">
        <w:rPr>
          <w:rFonts w:eastAsiaTheme="minorEastAsia"/>
        </w:rPr>
        <w:t>alcanzar</w:t>
      </w:r>
      <w:r>
        <w:rPr>
          <w:rFonts w:eastAsiaTheme="minorEastAsia"/>
        </w:rPr>
        <w:t xml:space="preserve"> un 3% al incorporar un efecto de diseño de 1.</w:t>
      </w:r>
      <w:r w:rsidR="00D20F7B">
        <w:rPr>
          <w:rFonts w:eastAsiaTheme="minorEastAsia"/>
        </w:rPr>
        <w:t>67</w:t>
      </w:r>
      <w:r>
        <w:rPr>
          <w:rFonts w:eastAsiaTheme="minorEastAsia"/>
        </w:rPr>
        <w:t xml:space="preserve"> es</w:t>
      </w:r>
      <w:r w:rsidR="00D20F7B">
        <w:rPr>
          <w:rFonts w:eastAsiaTheme="minorEastAsia"/>
        </w:rPr>
        <w:t>:</w:t>
      </w:r>
    </w:p>
    <w:p w14:paraId="0B67D634" w14:textId="76935E09" w:rsidR="00961974" w:rsidRPr="00496D3F" w:rsidRDefault="001C3FC5" w:rsidP="0096197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ME</m:t>
              </m:r>
            </m:e>
            <m:sub>
              <m:r>
                <w:rPr>
                  <w:rFonts w:ascii="Cambria Math" w:eastAsiaTheme="minorEastAsia" w:hAnsi="Cambria Math"/>
                </w:rPr>
                <m:t>MAS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0.03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1.67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  <w:highlight w:val="yellow"/>
            </w:rPr>
            <m:t>0.0232147</m:t>
          </m:r>
        </m:oMath>
      </m:oMathPara>
    </w:p>
    <w:p w14:paraId="6C348905" w14:textId="2817BB93" w:rsidR="00961974" w:rsidRDefault="00961974">
      <w:pPr>
        <w:rPr>
          <w:rFonts w:eastAsiaTheme="minorEastAsia"/>
        </w:rPr>
      </w:pPr>
      <w:r>
        <w:rPr>
          <w:rFonts w:eastAsiaTheme="minorEastAsia"/>
        </w:rPr>
        <w:t xml:space="preserve">Reemplazando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ME</m:t>
            </m:r>
          </m:e>
          <m:sub>
            <m:r>
              <w:rPr>
                <w:rFonts w:ascii="Cambria Math" w:eastAsiaTheme="minorEastAsia" w:hAnsi="Cambria Math"/>
              </w:rPr>
              <m:t>MAS</m:t>
            </m:r>
          </m:sub>
        </m:sSub>
      </m:oMath>
      <w:r>
        <w:rPr>
          <w:rFonts w:eastAsiaTheme="minorEastAsia"/>
        </w:rPr>
        <w:t xml:space="preserve">  y los demás valores en la formula (1) se obtiene:</w:t>
      </w:r>
    </w:p>
    <w:p w14:paraId="24A59C91" w14:textId="6335B6DA" w:rsidR="00961974" w:rsidRPr="00984091" w:rsidRDefault="00961974">
      <w:pPr>
        <w:rPr>
          <w:rFonts w:eastAsiaTheme="minorEastAsia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1.96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*0.5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1-0.5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0.0232147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*0.8*0.6</m:t>
              </m:r>
            </m:den>
          </m:f>
          <m:r>
            <w:rPr>
              <w:rFonts w:ascii="Cambria Math" w:eastAsiaTheme="minorEastAsia" w:hAnsi="Cambria Math"/>
            </w:rPr>
            <m:t>≈3713</m:t>
          </m:r>
        </m:oMath>
      </m:oMathPara>
    </w:p>
    <w:p w14:paraId="5F11F4CB" w14:textId="24121833" w:rsidR="00984091" w:rsidRDefault="00984091">
      <w:pPr>
        <w:rPr>
          <w:rFonts w:eastAsiaTheme="minorEastAsia"/>
        </w:rPr>
      </w:pPr>
      <w:r>
        <w:rPr>
          <w:rFonts w:eastAsiaTheme="minorEastAsia"/>
        </w:rPr>
        <w:t xml:space="preserve">Este </w:t>
      </w:r>
      <w:r w:rsidR="003F1C46">
        <w:rPr>
          <w:rFonts w:eastAsiaTheme="minorEastAsia"/>
        </w:rPr>
        <w:t>número</w:t>
      </w:r>
      <w:r>
        <w:rPr>
          <w:rFonts w:eastAsiaTheme="minorEastAsia"/>
        </w:rPr>
        <w:t xml:space="preserve"> lo aproximamos</w:t>
      </w:r>
      <w:r w:rsidR="00D52B6A">
        <w:rPr>
          <w:rFonts w:eastAsiaTheme="minorEastAsia"/>
        </w:rPr>
        <w:t xml:space="preserve"> </w:t>
      </w:r>
      <w:r>
        <w:rPr>
          <w:rFonts w:eastAsiaTheme="minorEastAsia"/>
        </w:rPr>
        <w:t xml:space="preserve">a </w:t>
      </w:r>
      <w:r w:rsidR="00D52B6A">
        <w:rPr>
          <w:rFonts w:eastAsiaTheme="minorEastAsia"/>
        </w:rPr>
        <w:t>3800</w:t>
      </w:r>
      <w:r w:rsidR="006206D6">
        <w:rPr>
          <w:rFonts w:eastAsiaTheme="minorEastAsia"/>
        </w:rPr>
        <w:t xml:space="preserve"> en caso de tener una tasa de no respuesta o de indecisos superior a las previstas</w:t>
      </w:r>
      <w:r>
        <w:rPr>
          <w:rFonts w:eastAsiaTheme="minorEastAsia"/>
        </w:rPr>
        <w:t>.</w:t>
      </w:r>
    </w:p>
    <w:p w14:paraId="47594EA9" w14:textId="77777777" w:rsidR="00233DD3" w:rsidRPr="00961974" w:rsidRDefault="00233DD3" w:rsidP="00233DD3">
      <w:pPr>
        <w:rPr>
          <w:rFonts w:eastAsiaTheme="minorEastAsia"/>
        </w:rPr>
      </w:pPr>
      <w:r w:rsidRPr="004F166F">
        <w:rPr>
          <w:rFonts w:eastAsiaTheme="minorEastAsia"/>
        </w:rPr>
        <w:lastRenderedPageBreak/>
        <w:t>-</w:t>
      </w:r>
      <w:r w:rsidRPr="004F166F">
        <w:rPr>
          <w:rFonts w:eastAsiaTheme="minorEastAsia"/>
        </w:rPr>
        <w:tab/>
        <w:t>El tamaño de muestra es uno solo correspondiente al número de encuestas realizadas a nivel nacional (3800 encuestas). El número de encuestas realizadas en cada punto muestral y en cada manzana corresponden a criterios operativos basados en experiencias de estudios anteriores.</w:t>
      </w:r>
    </w:p>
    <w:p w14:paraId="5E83BD1B" w14:textId="6C027EC5" w:rsidR="004F166F" w:rsidRPr="004F166F" w:rsidRDefault="004F166F" w:rsidP="004F166F">
      <w:pPr>
        <w:rPr>
          <w:rFonts w:eastAsiaTheme="minorEastAsia"/>
        </w:rPr>
      </w:pPr>
      <w:r w:rsidRPr="004F166F">
        <w:rPr>
          <w:rFonts w:eastAsiaTheme="minorEastAsia"/>
        </w:rPr>
        <w:t>-</w:t>
      </w:r>
      <w:r w:rsidRPr="004F166F">
        <w:rPr>
          <w:rFonts w:eastAsiaTheme="minorEastAsia"/>
        </w:rPr>
        <w:tab/>
        <w:t>La referencia bibliográfica utilizada es:</w:t>
      </w:r>
      <w:r w:rsidR="00900B5A">
        <w:rPr>
          <w:rFonts w:eastAsiaTheme="minorEastAsia"/>
        </w:rPr>
        <w:t xml:space="preserve"> </w:t>
      </w:r>
      <w:r w:rsidRPr="004F166F">
        <w:rPr>
          <w:rFonts w:eastAsiaTheme="minorEastAsia"/>
        </w:rPr>
        <w:t>Naciones Unidas, Departamento de Asuntos Económicos y Sociales, División de Estadística. (2009). Diseño de muestras para encuestas de hogares: Directrices prácticas (Estudios de métodos, Serie F, núm. 98). Naciones Unidas.</w:t>
      </w:r>
    </w:p>
    <w:p w14:paraId="423E5FC4" w14:textId="77777777" w:rsidR="00900B5A" w:rsidRPr="00900B5A" w:rsidRDefault="00900B5A" w:rsidP="00900B5A">
      <w:pPr>
        <w:rPr>
          <w:rFonts w:eastAsiaTheme="minorEastAsia"/>
        </w:rPr>
      </w:pPr>
      <w:hyperlink r:id="rId11" w:history="1">
        <w:r w:rsidRPr="00900B5A">
          <w:rPr>
            <w:rStyle w:val="Hipervnculo"/>
            <w:rFonts w:eastAsiaTheme="minorEastAsia"/>
          </w:rPr>
          <w:t>https://unstats.un.org/unsd/publication/seriesf/Seriesf_98s.pdf</w:t>
        </w:r>
      </w:hyperlink>
    </w:p>
    <w:sectPr w:rsidR="00900B5A" w:rsidRPr="00900B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BD4DE" w14:textId="77777777" w:rsidR="00F53DB3" w:rsidRDefault="00F53DB3" w:rsidP="00857A88">
      <w:pPr>
        <w:spacing w:after="0" w:line="240" w:lineRule="auto"/>
      </w:pPr>
      <w:r>
        <w:separator/>
      </w:r>
    </w:p>
  </w:endnote>
  <w:endnote w:type="continuationSeparator" w:id="0">
    <w:p w14:paraId="1425497C" w14:textId="77777777" w:rsidR="00F53DB3" w:rsidRDefault="00F53DB3" w:rsidP="00857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C13A" w14:textId="77777777" w:rsidR="00F53DB3" w:rsidRDefault="00F53DB3" w:rsidP="00857A88">
      <w:pPr>
        <w:spacing w:after="0" w:line="240" w:lineRule="auto"/>
      </w:pPr>
      <w:r>
        <w:separator/>
      </w:r>
    </w:p>
  </w:footnote>
  <w:footnote w:type="continuationSeparator" w:id="0">
    <w:p w14:paraId="63BD4B53" w14:textId="77777777" w:rsidR="00F53DB3" w:rsidRDefault="00F53DB3" w:rsidP="00857A88">
      <w:pPr>
        <w:spacing w:after="0" w:line="240" w:lineRule="auto"/>
      </w:pPr>
      <w:r>
        <w:continuationSeparator/>
      </w:r>
    </w:p>
  </w:footnote>
  <w:footnote w:id="1">
    <w:p w14:paraId="735D9A40" w14:textId="76A4FB1A" w:rsidR="00857A88" w:rsidRPr="00857A88" w:rsidRDefault="00857A88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 xml:space="preserve">La tasa de no respuesta esperada y la proporción de indecisos esperada se estima basados en estudios previos. </w:t>
      </w:r>
    </w:p>
  </w:footnote>
  <w:footnote w:id="2">
    <w:p w14:paraId="5C9DEFCB" w14:textId="77777777" w:rsidR="00F46B53" w:rsidRPr="00833174" w:rsidRDefault="00F46B53" w:rsidP="00F46B53">
      <w:pPr>
        <w:pStyle w:val="Textonotapie"/>
        <w:rPr>
          <w:lang w:val="es-ES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ES"/>
        </w:rPr>
        <w:t>El DEFF asumido se estimó basados en estudios previos.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3F"/>
    <w:rsid w:val="00015124"/>
    <w:rsid w:val="00073CE7"/>
    <w:rsid w:val="001D776C"/>
    <w:rsid w:val="00233DD3"/>
    <w:rsid w:val="003349DD"/>
    <w:rsid w:val="0034276C"/>
    <w:rsid w:val="00350289"/>
    <w:rsid w:val="0035298A"/>
    <w:rsid w:val="003F1C46"/>
    <w:rsid w:val="00496D3F"/>
    <w:rsid w:val="004F166F"/>
    <w:rsid w:val="006206D6"/>
    <w:rsid w:val="006807C7"/>
    <w:rsid w:val="006D7271"/>
    <w:rsid w:val="006E6FDF"/>
    <w:rsid w:val="00857A88"/>
    <w:rsid w:val="00900B5A"/>
    <w:rsid w:val="00961974"/>
    <w:rsid w:val="00964BDD"/>
    <w:rsid w:val="00984091"/>
    <w:rsid w:val="00A319E8"/>
    <w:rsid w:val="00A5728A"/>
    <w:rsid w:val="00C209FE"/>
    <w:rsid w:val="00D20F7B"/>
    <w:rsid w:val="00D52B6A"/>
    <w:rsid w:val="00E1762B"/>
    <w:rsid w:val="00E56F38"/>
    <w:rsid w:val="00F46B53"/>
    <w:rsid w:val="00F53DB3"/>
    <w:rsid w:val="00FE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81D37"/>
  <w15:chartTrackingRefBased/>
  <w15:docId w15:val="{7BF5613C-E8B3-4DA4-A4DE-8560CCC3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96D3F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57A8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57A8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57A8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A88"/>
  </w:style>
  <w:style w:type="paragraph" w:styleId="Piedepgina">
    <w:name w:val="footer"/>
    <w:basedOn w:val="Normal"/>
    <w:link w:val="PiedepginaCar"/>
    <w:uiPriority w:val="99"/>
    <w:unhideWhenUsed/>
    <w:rsid w:val="00857A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A88"/>
  </w:style>
  <w:style w:type="character" w:styleId="Hipervnculo">
    <w:name w:val="Hyperlink"/>
    <w:basedOn w:val="Fuentedeprrafopredeter"/>
    <w:uiPriority w:val="99"/>
    <w:unhideWhenUsed/>
    <w:rsid w:val="00900B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0B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nstats.un.org/unsd/publication/seriesf/Seriesf_98s.pdf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31276D52FD9764EA165A645F7F001A5" ma:contentTypeVersion="16" ma:contentTypeDescription="Crear nuevo documento." ma:contentTypeScope="" ma:versionID="724528883d085a67d964f8801ece9bc9">
  <xsd:schema xmlns:xsd="http://www.w3.org/2001/XMLSchema" xmlns:xs="http://www.w3.org/2001/XMLSchema" xmlns:p="http://schemas.microsoft.com/office/2006/metadata/properties" xmlns:ns2="e99733c9-c91d-40ba-8577-e58496ed48f3" xmlns:ns3="5dfc5b7e-5d09-4e72-9691-69d93b65956e" targetNamespace="http://schemas.microsoft.com/office/2006/metadata/properties" ma:root="true" ma:fieldsID="c61bd30d1b521090f0daaf3ad1a32831" ns2:_="" ns3:_="">
    <xsd:import namespace="e99733c9-c91d-40ba-8577-e58496ed48f3"/>
    <xsd:import namespace="5dfc5b7e-5d09-4e72-9691-69d93b65956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9733c9-c91d-40ba-8577-e58496ed48f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abb3995-02c0-4273-af47-27556ee8f627}" ma:internalName="TaxCatchAll" ma:showField="CatchAllData" ma:web="e99733c9-c91d-40ba-8577-e58496ed48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fc5b7e-5d09-4e72-9691-69d93b6595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43fd74c-e566-4ab2-ba0b-43653427c8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99733c9-c91d-40ba-8577-e58496ed48f3" xsi:nil="true"/>
    <lcf76f155ced4ddcb4097134ff3c332f xmlns="5dfc5b7e-5d09-4e72-9691-69d93b65956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63FE4-3D2E-4958-A473-01648DC917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9733c9-c91d-40ba-8577-e58496ed48f3"/>
    <ds:schemaRef ds:uri="5dfc5b7e-5d09-4e72-9691-69d93b659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97CEF1-BBBA-49C9-BD45-B0D39A78BCB1}">
  <ds:schemaRefs>
    <ds:schemaRef ds:uri="http://schemas.microsoft.com/office/2006/metadata/properties"/>
    <ds:schemaRef ds:uri="http://schemas.microsoft.com/office/infopath/2007/PartnerControls"/>
    <ds:schemaRef ds:uri="e99733c9-c91d-40ba-8577-e58496ed48f3"/>
    <ds:schemaRef ds:uri="5dfc5b7e-5d09-4e72-9691-69d93b65956e"/>
  </ds:schemaRefs>
</ds:datastoreItem>
</file>

<file path=customXml/itemProps3.xml><?xml version="1.0" encoding="utf-8"?>
<ds:datastoreItem xmlns:ds="http://schemas.openxmlformats.org/officeDocument/2006/customXml" ds:itemID="{A7093EA9-E958-4910-8A28-CD0FA9FEED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22BF7B-7EF8-4E75-82BE-F7863D8A8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2</Pages>
  <Words>324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Alexander Aguirre Antolinez</dc:creator>
  <cp:keywords/>
  <dc:description/>
  <cp:lastModifiedBy>Estefania Arias Cardona</cp:lastModifiedBy>
  <cp:revision>16</cp:revision>
  <dcterms:created xsi:type="dcterms:W3CDTF">2025-08-06T19:16:00Z</dcterms:created>
  <dcterms:modified xsi:type="dcterms:W3CDTF">2026-04-24T17:39:00Z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0x010100231276D52FD9764EA165A645F7F001A5</vt:lpwstr>
  </property>
  <property fmtid="{D5CDD505-2E9C-101B-9397-08002B2CF9AE}" pid="3" name="MediaServiceImageTags">
    <vt:lpwstr/>
  </property>
</Properties>
</file>