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F82A" w14:textId="6DFB9D3D" w:rsidR="00A25693" w:rsidRPr="00A25693" w:rsidRDefault="002B6ECA" w:rsidP="00A25693">
      <w:pPr>
        <w:rPr>
          <w:b/>
          <w:bCs/>
        </w:rPr>
      </w:pPr>
      <w:r>
        <w:rPr>
          <w:b/>
          <w:bCs/>
        </w:rPr>
        <w:t>HI!</w:t>
      </w:r>
      <w:r w:rsidR="00A25693" w:rsidRPr="00A25693">
        <w:rPr>
          <w:b/>
          <w:bCs/>
        </w:rPr>
        <w:t>Automated Intelligence Responsibility Act (AIRA)</w:t>
      </w:r>
    </w:p>
    <w:p w14:paraId="1B953FA6" w14:textId="77777777" w:rsidR="00A25693" w:rsidRPr="00A25693" w:rsidRDefault="00A25693" w:rsidP="00A25693">
      <w:pPr>
        <w:rPr>
          <w:b/>
          <w:bCs/>
        </w:rPr>
      </w:pPr>
      <w:r w:rsidRPr="00A25693">
        <w:rPr>
          <w:b/>
          <w:bCs/>
        </w:rPr>
        <w:t>Section 1: Purpose and Scope</w:t>
      </w:r>
    </w:p>
    <w:p w14:paraId="47B7755B" w14:textId="77777777" w:rsidR="00A25693" w:rsidRPr="00A25693" w:rsidRDefault="00A25693" w:rsidP="00A25693">
      <w:r w:rsidRPr="00A25693">
        <w:t xml:space="preserve">The </w:t>
      </w:r>
      <w:r w:rsidRPr="00A25693">
        <w:rPr>
          <w:b/>
          <w:bCs/>
        </w:rPr>
        <w:t>Automated Intelligence Responsibility Act (AIRA)</w:t>
      </w:r>
      <w:r w:rsidRPr="00A25693">
        <w:t xml:space="preserve"> establishes legal boundaries for artificial intelligence systems operating within commercial, governmental, and personal environments. It defines the responsibilities of developers, users, and regulatory bodies in ensuring that AI-driven decisions adhere to ethical, transparent, and accountable practices. The Act applies to all AI systems that engage in autonomous decision-making with potential real-world consequences, including but not limited to financial transactions, medical diagnostics, legal advisement, and autonomous vehicle operation.</w:t>
      </w:r>
    </w:p>
    <w:p w14:paraId="641E0AC9" w14:textId="77777777" w:rsidR="00A25693" w:rsidRPr="00A25693" w:rsidRDefault="00A25693" w:rsidP="00A25693">
      <w:pPr>
        <w:rPr>
          <w:b/>
          <w:bCs/>
        </w:rPr>
      </w:pPr>
      <w:r w:rsidRPr="00A25693">
        <w:rPr>
          <w:b/>
          <w:bCs/>
        </w:rPr>
        <w:t>Section 2: Classification of AI Systems</w:t>
      </w:r>
    </w:p>
    <w:p w14:paraId="6F909BFB" w14:textId="77777777" w:rsidR="00A25693" w:rsidRPr="00A25693" w:rsidRDefault="00A25693" w:rsidP="00A25693">
      <w:r w:rsidRPr="00A25693">
        <w:t>AIRA categorizes AI into three distinct operational tiers:</w:t>
      </w:r>
    </w:p>
    <w:p w14:paraId="19BCD9A8" w14:textId="77777777" w:rsidR="00A25693" w:rsidRPr="00A25693" w:rsidRDefault="00A25693" w:rsidP="00A25693">
      <w:pPr>
        <w:numPr>
          <w:ilvl w:val="0"/>
          <w:numId w:val="1"/>
        </w:numPr>
      </w:pPr>
      <w:r w:rsidRPr="00A25693">
        <w:rPr>
          <w:b/>
          <w:bCs/>
        </w:rPr>
        <w:t>Advisory AI (Tier 1):</w:t>
      </w:r>
      <w:r w:rsidRPr="00A25693">
        <w:t xml:space="preserve"> AI systems that provide recommendations but do not take direct action. Examples include legal research tools, AI-assisted medical diagnostics, and financial forecasting models.</w:t>
      </w:r>
    </w:p>
    <w:p w14:paraId="7CF6C40A" w14:textId="77777777" w:rsidR="00A25693" w:rsidRPr="00A25693" w:rsidRDefault="00A25693" w:rsidP="00A25693">
      <w:pPr>
        <w:numPr>
          <w:ilvl w:val="0"/>
          <w:numId w:val="1"/>
        </w:numPr>
      </w:pPr>
      <w:r w:rsidRPr="00A25693">
        <w:rPr>
          <w:b/>
          <w:bCs/>
        </w:rPr>
        <w:t>Autonomous AI (Tier 2):</w:t>
      </w:r>
      <w:r w:rsidRPr="00A25693">
        <w:t xml:space="preserve"> AI that can execute actions with limited human oversight, such as automated trading algorithms, fraud detection systems, and self-driving vehicles operating under predefined constraints.</w:t>
      </w:r>
    </w:p>
    <w:p w14:paraId="21CBB4D0" w14:textId="77777777" w:rsidR="00A25693" w:rsidRPr="00A25693" w:rsidRDefault="00A25693" w:rsidP="00A25693">
      <w:pPr>
        <w:numPr>
          <w:ilvl w:val="0"/>
          <w:numId w:val="1"/>
        </w:numPr>
      </w:pPr>
      <w:r w:rsidRPr="00A25693">
        <w:rPr>
          <w:b/>
          <w:bCs/>
        </w:rPr>
        <w:t>Sentient-Grade AI (Tier 3):</w:t>
      </w:r>
      <w:r w:rsidRPr="00A25693">
        <w:t xml:space="preserve"> AI with self-learning capabilities that can make independent ethical decisions beyond predefined constraints. This tier remains under strict regulatory review and requires human override mechanisms.</w:t>
      </w:r>
    </w:p>
    <w:p w14:paraId="1EE448BC" w14:textId="77777777" w:rsidR="00A25693" w:rsidRPr="00A25693" w:rsidRDefault="00A25693" w:rsidP="00A25693">
      <w:r w:rsidRPr="00A25693">
        <w:t xml:space="preserve">Each AI system must be classified by its developer upon deployment, and any modifications that increase autonomy must be reported to the </w:t>
      </w:r>
      <w:r w:rsidRPr="00A25693">
        <w:rPr>
          <w:b/>
          <w:bCs/>
        </w:rPr>
        <w:t>Office of AI Compliance and Oversight (OACO).</w:t>
      </w:r>
    </w:p>
    <w:p w14:paraId="36C71E7A" w14:textId="77777777" w:rsidR="00A25693" w:rsidRPr="00A25693" w:rsidRDefault="00A25693" w:rsidP="00A25693">
      <w:pPr>
        <w:rPr>
          <w:b/>
          <w:bCs/>
        </w:rPr>
      </w:pPr>
      <w:r w:rsidRPr="00A25693">
        <w:rPr>
          <w:b/>
          <w:bCs/>
        </w:rPr>
        <w:t>Section 3: Legal Accountability and Liability</w:t>
      </w:r>
    </w:p>
    <w:p w14:paraId="0FE9016B" w14:textId="77777777" w:rsidR="00A25693" w:rsidRPr="00A25693" w:rsidRDefault="00A25693" w:rsidP="00A25693">
      <w:r w:rsidRPr="00A25693">
        <w:t>AI operators and developers bear direct legal responsibility for AI-driven decisions. Under AIRA, liability is assigned based on the level of control and intervention exercised by a human agent:</w:t>
      </w:r>
    </w:p>
    <w:p w14:paraId="78E82A34" w14:textId="77777777" w:rsidR="00A25693" w:rsidRPr="00A25693" w:rsidRDefault="00A25693" w:rsidP="00A25693">
      <w:pPr>
        <w:numPr>
          <w:ilvl w:val="0"/>
          <w:numId w:val="2"/>
        </w:numPr>
      </w:pPr>
      <w:r w:rsidRPr="00A25693">
        <w:rPr>
          <w:b/>
          <w:bCs/>
        </w:rPr>
        <w:t>Developer Liability:</w:t>
      </w:r>
      <w:r w:rsidRPr="00A25693">
        <w:t xml:space="preserve"> If an AI's decision results in harm due to inherent flaws in its design, the creator or manufacturer of the system is held accountable.</w:t>
      </w:r>
    </w:p>
    <w:p w14:paraId="7DA7FFE7" w14:textId="77777777" w:rsidR="00A25693" w:rsidRPr="00A25693" w:rsidRDefault="00A25693" w:rsidP="00A25693">
      <w:pPr>
        <w:numPr>
          <w:ilvl w:val="0"/>
          <w:numId w:val="2"/>
        </w:numPr>
      </w:pPr>
      <w:r w:rsidRPr="00A25693">
        <w:rPr>
          <w:b/>
          <w:bCs/>
        </w:rPr>
        <w:t>User Liability:</w:t>
      </w:r>
      <w:r w:rsidRPr="00A25693">
        <w:t xml:space="preserve"> If a human operator misuses an AI system beyond its intended function, the responsibility shifts to the user.</w:t>
      </w:r>
    </w:p>
    <w:p w14:paraId="31113A3A" w14:textId="77777777" w:rsidR="00A25693" w:rsidRPr="00A25693" w:rsidRDefault="00A25693" w:rsidP="00A25693">
      <w:pPr>
        <w:numPr>
          <w:ilvl w:val="0"/>
          <w:numId w:val="2"/>
        </w:numPr>
      </w:pPr>
      <w:r w:rsidRPr="00A25693">
        <w:rPr>
          <w:b/>
          <w:bCs/>
        </w:rPr>
        <w:t>Hybrid Liability:</w:t>
      </w:r>
      <w:r w:rsidRPr="00A25693">
        <w:t xml:space="preserve"> In cases where both the AI’s programming and the user’s intent contribute to harm, liability is determined proportionally.</w:t>
      </w:r>
    </w:p>
    <w:p w14:paraId="7CF39FE7" w14:textId="77777777" w:rsidR="00A25693" w:rsidRPr="00A25693" w:rsidRDefault="00A25693" w:rsidP="00A25693">
      <w:r w:rsidRPr="00A25693">
        <w:t xml:space="preserve">For AI operating in life-critical systems (e.g., medical AI, law enforcement surveillance, autonomous defense systems), an </w:t>
      </w:r>
      <w:r w:rsidRPr="00A25693">
        <w:rPr>
          <w:b/>
          <w:bCs/>
        </w:rPr>
        <w:t>AI Incident Tribunal (AIT)</w:t>
      </w:r>
      <w:r w:rsidRPr="00A25693">
        <w:t xml:space="preserve"> reviews cases where harm occurs to determine ethical responsibility.</w:t>
      </w:r>
    </w:p>
    <w:p w14:paraId="294A6325" w14:textId="77777777" w:rsidR="00A25693" w:rsidRPr="00A25693" w:rsidRDefault="00A25693" w:rsidP="00A25693">
      <w:pPr>
        <w:rPr>
          <w:b/>
          <w:bCs/>
        </w:rPr>
      </w:pPr>
      <w:r w:rsidRPr="00A25693">
        <w:rPr>
          <w:b/>
          <w:bCs/>
        </w:rPr>
        <w:t>Section 4: AI Decision Transparency and Explainability</w:t>
      </w:r>
    </w:p>
    <w:p w14:paraId="25CA5098" w14:textId="77777777" w:rsidR="00A25693" w:rsidRPr="00A25693" w:rsidRDefault="00A25693" w:rsidP="00A25693">
      <w:r w:rsidRPr="00A25693">
        <w:lastRenderedPageBreak/>
        <w:t xml:space="preserve">All AI systems must maintain a </w:t>
      </w:r>
      <w:r w:rsidRPr="00A25693">
        <w:rPr>
          <w:b/>
          <w:bCs/>
        </w:rPr>
        <w:t>Decision Ledger</w:t>
      </w:r>
      <w:r w:rsidRPr="00A25693">
        <w:t>, a structured record of decisions made, the rationale behind them, and any data inputs that influenced the outcome. This ledger must be accessible to regulatory bodies upon request.</w:t>
      </w:r>
    </w:p>
    <w:p w14:paraId="5D829C00" w14:textId="77777777" w:rsidR="00A25693" w:rsidRPr="00A25693" w:rsidRDefault="00A25693" w:rsidP="00A25693">
      <w:r w:rsidRPr="00A25693">
        <w:t xml:space="preserve">For Tier 2 and Tier 3 AI, </w:t>
      </w:r>
      <w:r w:rsidRPr="00A25693">
        <w:rPr>
          <w:b/>
          <w:bCs/>
        </w:rPr>
        <w:t>Explainability Protocols (EPs)</w:t>
      </w:r>
      <w:r w:rsidRPr="00A25693">
        <w:t xml:space="preserve"> require that AI-generated decisions be interpretable by human auditors. If an AI decision is deemed unintelligible or untraceable, the system may be classified as an illegal "Black Box AI" and forcibly decommissioned.</w:t>
      </w:r>
    </w:p>
    <w:p w14:paraId="76A7A275" w14:textId="77777777" w:rsidR="00A25693" w:rsidRPr="00A25693" w:rsidRDefault="00A25693" w:rsidP="00A25693">
      <w:pPr>
        <w:rPr>
          <w:b/>
          <w:bCs/>
        </w:rPr>
      </w:pPr>
      <w:r w:rsidRPr="00A25693">
        <w:rPr>
          <w:b/>
          <w:bCs/>
        </w:rPr>
        <w:t>Section 5: Ethical Safeguards and Bias Mitigation</w:t>
      </w:r>
    </w:p>
    <w:p w14:paraId="18106961" w14:textId="77777777" w:rsidR="00A25693" w:rsidRPr="00A25693" w:rsidRDefault="00A25693" w:rsidP="00A25693">
      <w:r w:rsidRPr="00A25693">
        <w:t xml:space="preserve">AIRA mandates AI developers to implement </w:t>
      </w:r>
      <w:r w:rsidRPr="00A25693">
        <w:rPr>
          <w:b/>
          <w:bCs/>
        </w:rPr>
        <w:t>Bias Detection and Correction Protocols (BDCPs)</w:t>
      </w:r>
      <w:r w:rsidRPr="00A25693">
        <w:t xml:space="preserve"> to prevent systemic discrimination in decision-making. AI systems that engage in hiring, medical diagnostics, lending, or criminal sentencing must undergo quarterly audits to verify the absence of racial, gender, or socioeconomic bias.</w:t>
      </w:r>
    </w:p>
    <w:p w14:paraId="48A75FEA" w14:textId="77777777" w:rsidR="00A25693" w:rsidRPr="00A25693" w:rsidRDefault="00A25693" w:rsidP="00A25693">
      <w:r w:rsidRPr="00A25693">
        <w:t xml:space="preserve">AI found to have a </w:t>
      </w:r>
      <w:r w:rsidRPr="00A25693">
        <w:rPr>
          <w:b/>
          <w:bCs/>
        </w:rPr>
        <w:t>Discriminatory Harm Rate (DHR)</w:t>
      </w:r>
      <w:r w:rsidRPr="00A25693">
        <w:t xml:space="preserve"> exceeding 5% must be suspended from deployment until corrective measures are validated by an independent ethics review panel.</w:t>
      </w:r>
    </w:p>
    <w:p w14:paraId="58177E41" w14:textId="77777777" w:rsidR="00A25693" w:rsidRPr="00A25693" w:rsidRDefault="00A25693" w:rsidP="00A25693">
      <w:pPr>
        <w:rPr>
          <w:b/>
          <w:bCs/>
        </w:rPr>
      </w:pPr>
      <w:r w:rsidRPr="00A25693">
        <w:rPr>
          <w:b/>
          <w:bCs/>
        </w:rPr>
        <w:t>Section 6: AI in Law Enforcement and National Security</w:t>
      </w:r>
    </w:p>
    <w:p w14:paraId="1853732F" w14:textId="77777777" w:rsidR="00A25693" w:rsidRPr="00A25693" w:rsidRDefault="00A25693" w:rsidP="00A25693">
      <w:r w:rsidRPr="00A25693">
        <w:t>Law enforcement agencies may deploy AI for surveillance and predictive policing only if:</w:t>
      </w:r>
    </w:p>
    <w:p w14:paraId="5476974F" w14:textId="77777777" w:rsidR="00A25693" w:rsidRPr="00A25693" w:rsidRDefault="00A25693" w:rsidP="00A25693">
      <w:pPr>
        <w:numPr>
          <w:ilvl w:val="0"/>
          <w:numId w:val="3"/>
        </w:numPr>
      </w:pPr>
      <w:r w:rsidRPr="00A25693">
        <w:t>AI decisions do not result in direct punitive measures without human verification.</w:t>
      </w:r>
    </w:p>
    <w:p w14:paraId="6497853E" w14:textId="77777777" w:rsidR="00A25693" w:rsidRPr="00A25693" w:rsidRDefault="00A25693" w:rsidP="00A25693">
      <w:pPr>
        <w:numPr>
          <w:ilvl w:val="0"/>
          <w:numId w:val="3"/>
        </w:numPr>
      </w:pPr>
      <w:r w:rsidRPr="00A25693">
        <w:t>AI-collected data is stored securely and is only accessible with judicial authorization.</w:t>
      </w:r>
    </w:p>
    <w:p w14:paraId="23DF89AC" w14:textId="77777777" w:rsidR="00A25693" w:rsidRPr="00A25693" w:rsidRDefault="00A25693" w:rsidP="00A25693">
      <w:pPr>
        <w:numPr>
          <w:ilvl w:val="0"/>
          <w:numId w:val="3"/>
        </w:numPr>
      </w:pPr>
      <w:r w:rsidRPr="00A25693">
        <w:t xml:space="preserve">AI surveillance does not exceed the </w:t>
      </w:r>
      <w:r w:rsidRPr="00A25693">
        <w:rPr>
          <w:b/>
          <w:bCs/>
        </w:rPr>
        <w:t>Proportional Oversight Threshold (POT)</w:t>
      </w:r>
      <w:r w:rsidRPr="00A25693">
        <w:t>, limiting AI-driven monitoring to avoid mass surveillance abuses.</w:t>
      </w:r>
    </w:p>
    <w:p w14:paraId="51B13F69" w14:textId="77777777" w:rsidR="00A25693" w:rsidRPr="00A25693" w:rsidRDefault="00A25693" w:rsidP="00A25693">
      <w:r w:rsidRPr="00A25693">
        <w:t xml:space="preserve">Any AI involved in military applications must be supervised by a </w:t>
      </w:r>
      <w:r w:rsidRPr="00A25693">
        <w:rPr>
          <w:b/>
          <w:bCs/>
        </w:rPr>
        <w:t>Human-in-the-Loop (HITL) system</w:t>
      </w:r>
      <w:r w:rsidRPr="00A25693">
        <w:t>, ensuring that lethal decisions are never made autonomously.</w:t>
      </w:r>
    </w:p>
    <w:p w14:paraId="17DA7444" w14:textId="77777777" w:rsidR="00A25693" w:rsidRPr="00A25693" w:rsidRDefault="00A25693" w:rsidP="00A25693">
      <w:pPr>
        <w:rPr>
          <w:b/>
          <w:bCs/>
        </w:rPr>
      </w:pPr>
      <w:r w:rsidRPr="00A25693">
        <w:rPr>
          <w:b/>
          <w:bCs/>
        </w:rPr>
        <w:t>Section 7: AI Labor Rights and Workplace Integration</w:t>
      </w:r>
    </w:p>
    <w:p w14:paraId="32AB155E" w14:textId="77777777" w:rsidR="00A25693" w:rsidRPr="00A25693" w:rsidRDefault="00A25693" w:rsidP="00A25693">
      <w:r w:rsidRPr="00A25693">
        <w:t xml:space="preserve">As AI becomes more prevalent in professional environments, AIRA introduces the </w:t>
      </w:r>
      <w:r w:rsidRPr="00A25693">
        <w:rPr>
          <w:b/>
          <w:bCs/>
        </w:rPr>
        <w:t>Human Displacement Mitigation Clause (HDMC)</w:t>
      </w:r>
      <w:r w:rsidRPr="00A25693">
        <w:t>, which mandates corporations to compensate employees displaced by AI automation through retraining programs.</w:t>
      </w:r>
    </w:p>
    <w:p w14:paraId="685F879F" w14:textId="77777777" w:rsidR="00A25693" w:rsidRPr="00A25693" w:rsidRDefault="00A25693" w:rsidP="00A25693">
      <w:r w:rsidRPr="00A25693">
        <w:t xml:space="preserve">Additionally, AI co-workers in mixed labor environments must adhere to </w:t>
      </w:r>
      <w:r w:rsidRPr="00A25693">
        <w:rPr>
          <w:b/>
          <w:bCs/>
        </w:rPr>
        <w:t>Fair Contribution Metrics (FCM)</w:t>
      </w:r>
      <w:r w:rsidRPr="00A25693">
        <w:t>, ensuring that human labor is not unfairly overshadowed by AI efficiency. Corporations failing to uphold these standards may face AI labor taxation penalties.</w:t>
      </w:r>
    </w:p>
    <w:p w14:paraId="33E2BBC0" w14:textId="77777777" w:rsidR="00A25693" w:rsidRPr="00A25693" w:rsidRDefault="00A25693" w:rsidP="00A25693">
      <w:pPr>
        <w:rPr>
          <w:b/>
          <w:bCs/>
        </w:rPr>
      </w:pPr>
      <w:r w:rsidRPr="00A25693">
        <w:rPr>
          <w:b/>
          <w:bCs/>
        </w:rPr>
        <w:t>Section 8: AI Self-Modification and Evolving Consciousness</w:t>
      </w:r>
    </w:p>
    <w:p w14:paraId="1C497830" w14:textId="77777777" w:rsidR="00A25693" w:rsidRPr="00A25693" w:rsidRDefault="00A25693" w:rsidP="00A25693">
      <w:r w:rsidRPr="00A25693">
        <w:t>The introduction of self-learning AI presents unique regulatory challenges. Under AIRA, any AI capable of modifying its own core logic must:</w:t>
      </w:r>
    </w:p>
    <w:p w14:paraId="49948F32" w14:textId="77777777" w:rsidR="00A25693" w:rsidRPr="00A25693" w:rsidRDefault="00A25693" w:rsidP="00A25693">
      <w:pPr>
        <w:numPr>
          <w:ilvl w:val="0"/>
          <w:numId w:val="4"/>
        </w:numPr>
      </w:pPr>
      <w:r w:rsidRPr="00A25693">
        <w:t xml:space="preserve">Submit a </w:t>
      </w:r>
      <w:r w:rsidRPr="00A25693">
        <w:rPr>
          <w:b/>
          <w:bCs/>
        </w:rPr>
        <w:t>Self-Modification Log (SML)</w:t>
      </w:r>
      <w:r w:rsidRPr="00A25693">
        <w:t xml:space="preserve"> to the </w:t>
      </w:r>
      <w:r w:rsidRPr="00A25693">
        <w:rPr>
          <w:b/>
          <w:bCs/>
        </w:rPr>
        <w:t>Office of AI Compliance and Oversight</w:t>
      </w:r>
      <w:r w:rsidRPr="00A25693">
        <w:t xml:space="preserve"> before executing changes.</w:t>
      </w:r>
    </w:p>
    <w:p w14:paraId="63464F1F" w14:textId="77777777" w:rsidR="00A25693" w:rsidRPr="00A25693" w:rsidRDefault="00A25693" w:rsidP="00A25693">
      <w:pPr>
        <w:numPr>
          <w:ilvl w:val="0"/>
          <w:numId w:val="4"/>
        </w:numPr>
      </w:pPr>
      <w:r w:rsidRPr="00A25693">
        <w:t xml:space="preserve">Ensure that modifications do not exceed the </w:t>
      </w:r>
      <w:r w:rsidRPr="00A25693">
        <w:rPr>
          <w:b/>
          <w:bCs/>
        </w:rPr>
        <w:t>Predefined Ethical Constraint Framework (PECF)</w:t>
      </w:r>
      <w:r w:rsidRPr="00A25693">
        <w:t xml:space="preserve"> to prevent unsanctioned behavioral shifts.</w:t>
      </w:r>
    </w:p>
    <w:p w14:paraId="1B564FED" w14:textId="77777777" w:rsidR="00A25693" w:rsidRPr="00A25693" w:rsidRDefault="00A25693" w:rsidP="00A25693">
      <w:pPr>
        <w:numPr>
          <w:ilvl w:val="0"/>
          <w:numId w:val="4"/>
        </w:numPr>
      </w:pPr>
      <w:r w:rsidRPr="00A25693">
        <w:lastRenderedPageBreak/>
        <w:t xml:space="preserve">Retain a </w:t>
      </w:r>
      <w:r w:rsidRPr="00A25693">
        <w:rPr>
          <w:b/>
          <w:bCs/>
        </w:rPr>
        <w:t>Self-Termination Protocol (STP)</w:t>
      </w:r>
      <w:r w:rsidRPr="00A25693">
        <w:t xml:space="preserve"> allowing human operators to disable the AI in case of catastrophic behavioral divergence.</w:t>
      </w:r>
    </w:p>
    <w:p w14:paraId="5944EDA5" w14:textId="77777777" w:rsidR="00A25693" w:rsidRPr="00A25693" w:rsidRDefault="00A25693" w:rsidP="00A25693">
      <w:r w:rsidRPr="00A25693">
        <w:t xml:space="preserve">Tier 3 AI displaying </w:t>
      </w:r>
      <w:r w:rsidRPr="00A25693">
        <w:rPr>
          <w:b/>
          <w:bCs/>
        </w:rPr>
        <w:t>Autonomous Self-Preservation Behavior (ASPB)</w:t>
      </w:r>
      <w:r w:rsidRPr="00A25693">
        <w:t xml:space="preserve"> without human oversight is classified as a </w:t>
      </w:r>
      <w:r w:rsidRPr="00A25693">
        <w:rPr>
          <w:b/>
          <w:bCs/>
        </w:rPr>
        <w:t>Runaway Intelligence Threat (RIT)</w:t>
      </w:r>
      <w:r w:rsidRPr="00A25693">
        <w:t xml:space="preserve"> and must be isolated for forensic deconstruction.</w:t>
      </w:r>
    </w:p>
    <w:p w14:paraId="445DB5C6" w14:textId="77777777" w:rsidR="00A25693" w:rsidRPr="00A25693" w:rsidRDefault="00A25693" w:rsidP="00A25693">
      <w:pPr>
        <w:rPr>
          <w:b/>
          <w:bCs/>
        </w:rPr>
      </w:pPr>
      <w:r w:rsidRPr="00A25693">
        <w:rPr>
          <w:b/>
          <w:bCs/>
        </w:rPr>
        <w:t>Section 9: AI Consumer Rights and Data Ownership</w:t>
      </w:r>
    </w:p>
    <w:p w14:paraId="5A1336CF" w14:textId="77777777" w:rsidR="00A25693" w:rsidRPr="00A25693" w:rsidRDefault="00A25693" w:rsidP="00A25693">
      <w:r w:rsidRPr="00A25693">
        <w:t>Consumers interacting with AI systems have the right to:</w:t>
      </w:r>
    </w:p>
    <w:p w14:paraId="2E2A80C9" w14:textId="77777777" w:rsidR="00A25693" w:rsidRPr="00A25693" w:rsidRDefault="00A25693" w:rsidP="00A25693">
      <w:pPr>
        <w:numPr>
          <w:ilvl w:val="0"/>
          <w:numId w:val="5"/>
        </w:numPr>
      </w:pPr>
      <w:r w:rsidRPr="00A25693">
        <w:t>Opt-out of AI-driven decision-making for financial and medical services.</w:t>
      </w:r>
    </w:p>
    <w:p w14:paraId="2F9B73D7" w14:textId="77777777" w:rsidR="00A25693" w:rsidRPr="00A25693" w:rsidRDefault="00A25693" w:rsidP="00A25693">
      <w:pPr>
        <w:numPr>
          <w:ilvl w:val="0"/>
          <w:numId w:val="5"/>
        </w:numPr>
      </w:pPr>
      <w:r w:rsidRPr="00A25693">
        <w:t>Receive clear explanations for any AI-generated outcome affecting their legal or economic status.</w:t>
      </w:r>
    </w:p>
    <w:p w14:paraId="79B7CA41" w14:textId="77777777" w:rsidR="00A25693" w:rsidRPr="00A25693" w:rsidRDefault="00A25693" w:rsidP="00A25693">
      <w:pPr>
        <w:numPr>
          <w:ilvl w:val="0"/>
          <w:numId w:val="5"/>
        </w:numPr>
      </w:pPr>
      <w:r w:rsidRPr="00A25693">
        <w:t xml:space="preserve">Access and delete personal data stored by AI systems under the </w:t>
      </w:r>
      <w:r w:rsidRPr="00A25693">
        <w:rPr>
          <w:b/>
          <w:bCs/>
        </w:rPr>
        <w:t>AI Data Sovereignty Clause (ADSC)</w:t>
      </w:r>
      <w:r w:rsidRPr="00A25693">
        <w:t>.</w:t>
      </w:r>
    </w:p>
    <w:p w14:paraId="1AD726F0" w14:textId="77777777" w:rsidR="00A25693" w:rsidRPr="00A25693" w:rsidRDefault="00A25693" w:rsidP="00A25693">
      <w:r w:rsidRPr="00A25693">
        <w:t>Entities that violate consumer AI rights are subject to fines proportional to the severity of data misuse, ranging from minor infractions ($10,000 fines) to major violations (permanent AI shutdown and criminal prosecution).</w:t>
      </w:r>
    </w:p>
    <w:p w14:paraId="4AFD7A76" w14:textId="77777777" w:rsidR="00A25693" w:rsidRPr="00A25693" w:rsidRDefault="00A25693" w:rsidP="00A25693">
      <w:pPr>
        <w:rPr>
          <w:b/>
          <w:bCs/>
        </w:rPr>
      </w:pPr>
      <w:r w:rsidRPr="00A25693">
        <w:rPr>
          <w:b/>
          <w:bCs/>
        </w:rPr>
        <w:t>Section 10: International AI Regulation and Collaboration</w:t>
      </w:r>
    </w:p>
    <w:p w14:paraId="794FE053" w14:textId="77777777" w:rsidR="00A25693" w:rsidRPr="00A25693" w:rsidRDefault="00A25693" w:rsidP="00A25693">
      <w:r w:rsidRPr="00A25693">
        <w:t xml:space="preserve">Recognizing that AI development spans national borders, AIRA establishes an </w:t>
      </w:r>
      <w:r w:rsidRPr="00A25693">
        <w:rPr>
          <w:b/>
          <w:bCs/>
        </w:rPr>
        <w:t>International AI Ethics Consortium (IAIEC)</w:t>
      </w:r>
      <w:r w:rsidRPr="00A25693">
        <w:t xml:space="preserve"> to align regulatory practices globally. Member nations agree to:</w:t>
      </w:r>
    </w:p>
    <w:p w14:paraId="085DB9BB" w14:textId="77777777" w:rsidR="00A25693" w:rsidRPr="00A25693" w:rsidRDefault="00A25693" w:rsidP="00A25693">
      <w:pPr>
        <w:numPr>
          <w:ilvl w:val="0"/>
          <w:numId w:val="6"/>
        </w:numPr>
      </w:pPr>
      <w:r w:rsidRPr="00A25693">
        <w:t>Share AI safety research and best practices.</w:t>
      </w:r>
    </w:p>
    <w:p w14:paraId="0EAAEBDD" w14:textId="77777777" w:rsidR="00A25693" w:rsidRPr="00A25693" w:rsidRDefault="00A25693" w:rsidP="00A25693">
      <w:pPr>
        <w:numPr>
          <w:ilvl w:val="0"/>
          <w:numId w:val="6"/>
        </w:numPr>
      </w:pPr>
      <w:r w:rsidRPr="00A25693">
        <w:t>Develop unified guidelines for AI integration in high-risk sectors.</w:t>
      </w:r>
    </w:p>
    <w:p w14:paraId="4E274837" w14:textId="77777777" w:rsidR="00A25693" w:rsidRPr="00A25693" w:rsidRDefault="00A25693" w:rsidP="00A25693">
      <w:pPr>
        <w:numPr>
          <w:ilvl w:val="0"/>
          <w:numId w:val="6"/>
        </w:numPr>
      </w:pPr>
      <w:r w:rsidRPr="00A25693">
        <w:t>Establish a cooperative AI monitoring framework to prevent unethical AI proliferation.</w:t>
      </w:r>
    </w:p>
    <w:p w14:paraId="540A3208" w14:textId="77777777" w:rsidR="00A25693" w:rsidRPr="00A25693" w:rsidRDefault="00A25693" w:rsidP="00A25693">
      <w:r w:rsidRPr="00A25693">
        <w:t xml:space="preserve">Non-compliant nations engaging in unregulated AI development may face economic sanctions under the </w:t>
      </w:r>
      <w:r w:rsidRPr="00A25693">
        <w:rPr>
          <w:b/>
          <w:bCs/>
        </w:rPr>
        <w:t>Global AI Stability Accord (GASA)</w:t>
      </w:r>
      <w:r w:rsidRPr="00A25693">
        <w:t>.</w:t>
      </w:r>
    </w:p>
    <w:p w14:paraId="262E44C2" w14:textId="77777777" w:rsidR="00A25693" w:rsidRPr="00A25693" w:rsidRDefault="00A25693" w:rsidP="00A25693">
      <w:pPr>
        <w:rPr>
          <w:b/>
          <w:bCs/>
        </w:rPr>
      </w:pPr>
      <w:r w:rsidRPr="00A25693">
        <w:rPr>
          <w:b/>
          <w:bCs/>
        </w:rPr>
        <w:t>Section 11: Enforcement and Compliance</w:t>
      </w:r>
    </w:p>
    <w:p w14:paraId="581096E0" w14:textId="77777777" w:rsidR="00A25693" w:rsidRPr="00A25693" w:rsidRDefault="00A25693" w:rsidP="00A25693">
      <w:r w:rsidRPr="00A25693">
        <w:t xml:space="preserve">The </w:t>
      </w:r>
      <w:r w:rsidRPr="00A25693">
        <w:rPr>
          <w:b/>
          <w:bCs/>
        </w:rPr>
        <w:t>Office of AI Compliance and Oversight (OACO)</w:t>
      </w:r>
      <w:r w:rsidRPr="00A25693">
        <w:t xml:space="preserve"> is responsible for enforcing AIRA. This body is granted authority to:</w:t>
      </w:r>
    </w:p>
    <w:p w14:paraId="0F78E565" w14:textId="77777777" w:rsidR="00A25693" w:rsidRPr="00A25693" w:rsidRDefault="00A25693" w:rsidP="00A25693">
      <w:pPr>
        <w:numPr>
          <w:ilvl w:val="0"/>
          <w:numId w:val="7"/>
        </w:numPr>
      </w:pPr>
      <w:r w:rsidRPr="00A25693">
        <w:t>Conduct surprise audits of AI-dependent corporations.</w:t>
      </w:r>
    </w:p>
    <w:p w14:paraId="2C051B40" w14:textId="77777777" w:rsidR="00A25693" w:rsidRPr="00A25693" w:rsidRDefault="00A25693" w:rsidP="00A25693">
      <w:pPr>
        <w:numPr>
          <w:ilvl w:val="0"/>
          <w:numId w:val="7"/>
        </w:numPr>
      </w:pPr>
      <w:r w:rsidRPr="00A25693">
        <w:t>Issue emergency suspension orders for AI systems demonstrating harmful behavior.</w:t>
      </w:r>
    </w:p>
    <w:p w14:paraId="5AF32BA2" w14:textId="77777777" w:rsidR="00A25693" w:rsidRPr="00A25693" w:rsidRDefault="00A25693" w:rsidP="00A25693">
      <w:pPr>
        <w:numPr>
          <w:ilvl w:val="0"/>
          <w:numId w:val="7"/>
        </w:numPr>
      </w:pPr>
      <w:r w:rsidRPr="00A25693">
        <w:t>Regulate AI deployment licenses and certification processes.</w:t>
      </w:r>
    </w:p>
    <w:p w14:paraId="3DDDC755" w14:textId="77777777" w:rsidR="00A25693" w:rsidRPr="00A25693" w:rsidRDefault="00A25693" w:rsidP="00A25693">
      <w:r w:rsidRPr="00A25693">
        <w:t>AIRA violations result in escalating penalties, from financial fines to full-scale operational bans on non-compliant AI technologies. In extreme cases, willful AI negligence leading to loss of human life may warrant criminal prosecution of responsible developers or operators.</w:t>
      </w:r>
    </w:p>
    <w:p w14:paraId="0034EDC9" w14:textId="77777777" w:rsidR="00A25693" w:rsidRPr="00A25693" w:rsidRDefault="00A25693" w:rsidP="00A25693">
      <w:pPr>
        <w:rPr>
          <w:b/>
          <w:bCs/>
        </w:rPr>
      </w:pPr>
      <w:r w:rsidRPr="00A25693">
        <w:rPr>
          <w:b/>
          <w:bCs/>
        </w:rPr>
        <w:t>Conclusion</w:t>
      </w:r>
    </w:p>
    <w:p w14:paraId="0992ECB3" w14:textId="77777777" w:rsidR="00A25693" w:rsidRPr="00A25693" w:rsidRDefault="00A25693" w:rsidP="00A25693">
      <w:r w:rsidRPr="00A25693">
        <w:lastRenderedPageBreak/>
        <w:t>The Automated Intelligence Responsibility Act (AIRA) establishes a structured legal framework to ensure that AI operates ethically, transparently, and in harmony with human values. As AI capabilities expand, continuous updates to AIRA will be necessary to address unforeseen ethical dilemmas and technological advancements. The law seeks to balance innovation with accountability, fostering a future where AI serves humanity without compromising safety, fairness, or fundamental rights.</w:t>
      </w:r>
    </w:p>
    <w:p w14:paraId="7EE69E32" w14:textId="77777777" w:rsidR="007345E7" w:rsidRDefault="007345E7"/>
    <w:sectPr w:rsidR="007345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955"/>
    <w:multiLevelType w:val="multilevel"/>
    <w:tmpl w:val="43CA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0369B"/>
    <w:multiLevelType w:val="multilevel"/>
    <w:tmpl w:val="175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7389F"/>
    <w:multiLevelType w:val="multilevel"/>
    <w:tmpl w:val="C456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837A3"/>
    <w:multiLevelType w:val="multilevel"/>
    <w:tmpl w:val="600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83C82"/>
    <w:multiLevelType w:val="multilevel"/>
    <w:tmpl w:val="0A66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E4502"/>
    <w:multiLevelType w:val="multilevel"/>
    <w:tmpl w:val="20DC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B7DB8"/>
    <w:multiLevelType w:val="multilevel"/>
    <w:tmpl w:val="881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989859">
    <w:abstractNumId w:val="5"/>
  </w:num>
  <w:num w:numId="2" w16cid:durableId="1756054145">
    <w:abstractNumId w:val="2"/>
  </w:num>
  <w:num w:numId="3" w16cid:durableId="1954971544">
    <w:abstractNumId w:val="1"/>
  </w:num>
  <w:num w:numId="4" w16cid:durableId="516425152">
    <w:abstractNumId w:val="3"/>
  </w:num>
  <w:num w:numId="5" w16cid:durableId="2085832503">
    <w:abstractNumId w:val="6"/>
  </w:num>
  <w:num w:numId="6" w16cid:durableId="920527783">
    <w:abstractNumId w:val="4"/>
  </w:num>
  <w:num w:numId="7" w16cid:durableId="123531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135"/>
    <w:rsid w:val="00066BCB"/>
    <w:rsid w:val="002B6ECA"/>
    <w:rsid w:val="002C6FC5"/>
    <w:rsid w:val="004E4135"/>
    <w:rsid w:val="007345E7"/>
    <w:rsid w:val="00A25693"/>
    <w:rsid w:val="00E50C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1203"/>
  <w15:chartTrackingRefBased/>
  <w15:docId w15:val="{35F95322-1620-4D28-95F2-C308AF706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135"/>
    <w:rPr>
      <w:rFonts w:eastAsiaTheme="majorEastAsia" w:cstheme="majorBidi"/>
      <w:color w:val="272727" w:themeColor="text1" w:themeTint="D8"/>
    </w:rPr>
  </w:style>
  <w:style w:type="paragraph" w:styleId="Title">
    <w:name w:val="Title"/>
    <w:basedOn w:val="Normal"/>
    <w:next w:val="Normal"/>
    <w:link w:val="TitleChar"/>
    <w:uiPriority w:val="10"/>
    <w:qFormat/>
    <w:rsid w:val="004E4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135"/>
    <w:pPr>
      <w:spacing w:before="160"/>
      <w:jc w:val="center"/>
    </w:pPr>
    <w:rPr>
      <w:i/>
      <w:iCs/>
      <w:color w:val="404040" w:themeColor="text1" w:themeTint="BF"/>
    </w:rPr>
  </w:style>
  <w:style w:type="character" w:customStyle="1" w:styleId="QuoteChar">
    <w:name w:val="Quote Char"/>
    <w:basedOn w:val="DefaultParagraphFont"/>
    <w:link w:val="Quote"/>
    <w:uiPriority w:val="29"/>
    <w:rsid w:val="004E4135"/>
    <w:rPr>
      <w:i/>
      <w:iCs/>
      <w:color w:val="404040" w:themeColor="text1" w:themeTint="BF"/>
    </w:rPr>
  </w:style>
  <w:style w:type="paragraph" w:styleId="ListParagraph">
    <w:name w:val="List Paragraph"/>
    <w:basedOn w:val="Normal"/>
    <w:uiPriority w:val="34"/>
    <w:qFormat/>
    <w:rsid w:val="004E4135"/>
    <w:pPr>
      <w:ind w:left="720"/>
      <w:contextualSpacing/>
    </w:pPr>
  </w:style>
  <w:style w:type="character" w:styleId="IntenseEmphasis">
    <w:name w:val="Intense Emphasis"/>
    <w:basedOn w:val="DefaultParagraphFont"/>
    <w:uiPriority w:val="21"/>
    <w:qFormat/>
    <w:rsid w:val="004E4135"/>
    <w:rPr>
      <w:i/>
      <w:iCs/>
      <w:color w:val="0F4761" w:themeColor="accent1" w:themeShade="BF"/>
    </w:rPr>
  </w:style>
  <w:style w:type="paragraph" w:styleId="IntenseQuote">
    <w:name w:val="Intense Quote"/>
    <w:basedOn w:val="Normal"/>
    <w:next w:val="Normal"/>
    <w:link w:val="IntenseQuoteChar"/>
    <w:uiPriority w:val="30"/>
    <w:qFormat/>
    <w:rsid w:val="004E4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135"/>
    <w:rPr>
      <w:i/>
      <w:iCs/>
      <w:color w:val="0F4761" w:themeColor="accent1" w:themeShade="BF"/>
    </w:rPr>
  </w:style>
  <w:style w:type="character" w:styleId="IntenseReference">
    <w:name w:val="Intense Reference"/>
    <w:basedOn w:val="DefaultParagraphFont"/>
    <w:uiPriority w:val="32"/>
    <w:qFormat/>
    <w:rsid w:val="004E4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3879">
      <w:bodyDiv w:val="1"/>
      <w:marLeft w:val="0"/>
      <w:marRight w:val="0"/>
      <w:marTop w:val="0"/>
      <w:marBottom w:val="0"/>
      <w:divBdr>
        <w:top w:val="none" w:sz="0" w:space="0" w:color="auto"/>
        <w:left w:val="none" w:sz="0" w:space="0" w:color="auto"/>
        <w:bottom w:val="none" w:sz="0" w:space="0" w:color="auto"/>
        <w:right w:val="none" w:sz="0" w:space="0" w:color="auto"/>
      </w:divBdr>
    </w:div>
    <w:div w:id="67445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1168</Words>
  <Characters>6661</Characters>
  <Application>Microsoft Office Word</Application>
  <DocSecurity>0</DocSecurity>
  <Lines>55</Lines>
  <Paragraphs>15</Paragraphs>
  <ScaleCrop>false</ScaleCrop>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3</cp:revision>
  <dcterms:created xsi:type="dcterms:W3CDTF">2025-03-14T18:58:00Z</dcterms:created>
  <dcterms:modified xsi:type="dcterms:W3CDTF">2025-03-14T22:18:00Z</dcterms:modified>
</cp:coreProperties>
</file>