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RÜCKKANAL-KONZEPT · ENTWURF</w:t>
      </w:r>
    </w:p>
    <w:p>
      <w:pPr>
        <w:spacing w:after="60"/>
      </w:pPr>
      <w:r>
        <w:rPr>
          <w:b/>
          <w:bCs/>
          <w:color w:val="1F3864"/>
          <w:sz w:val="38"/>
          <w:szCs w:val="38"/>
        </w:rPr>
        <w:t xml:space="preserve">Expertenwissen aus MP zurück ins Wissensnetz</w:t>
      </w:r>
    </w:p>
    <w:p>
      <w:pPr>
        <w:spacing w:after="60"/>
      </w:pPr>
      <w:r>
        <w:rPr>
          <w:color w:val="2E74B5"/>
          <w:sz w:val="24"/>
          <w:szCs w:val="24"/>
        </w:rPr>
        <w:t xml:space="preserve">Expert Knowledge Transfer: von der Selektion zum RDF-Tripel</w:t>
      </w:r>
    </w:p>
    <w:p>
      <w:pPr>
        <w:pBdr>
          <w:bottom w:val="single" w:color="2E74B5" w:sz="12" w:space="6"/>
        </w:pBdr>
        <w:spacing w:after="150"/>
      </w:pPr>
      <w:r>
        <w:rPr>
          <w:color w:val="595959"/>
          <w:sz w:val="20"/>
          <w:szCs w:val="20"/>
        </w:rPr>
        <w:t xml:space="preserve">Projekt DataBridge · 26ss_CB_DataBridge · Teilbereich Wissensnetz (Marcel Thiel)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2E7D32"/>
          <w:sz w:val="22"/>
          <w:szCs w:val="22"/>
        </w:rPr>
        <w:t xml:space="preserve">Entwurf v0.1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Stand: </w:t>
      </w:r>
      <w:r>
        <w:rPr>
          <w:sz w:val="22"/>
          <w:szCs w:val="22"/>
        </w:rPr>
        <w:t xml:space="preserve">20.08.2026</w:t>
      </w:r>
    </w:p>
    <w:p>
      <w:pPr>
        <w:spacing w:after="130" w:line="280"/>
      </w:pPr>
      <w:r>
        <w:rPr>
          <w:sz w:val="22"/>
          <w:szCs w:val="22"/>
        </w:rPr>
        <w:t xml:space="preserve">Dieses Dokument ist das Gegenstück zum Mapping-Konzept. Während das Mapping Daten in das Wissensnetz </w:t>
      </w:r>
      <w:r>
        <w:rPr>
          <w:i/>
          <w:iCs/>
          <w:sz w:val="22"/>
          <w:szCs w:val="22"/>
        </w:rPr>
        <w:t xml:space="preserve">hineinbringt</w:t>
      </w:r>
      <w:r>
        <w:rPr>
          <w:sz w:val="22"/>
          <w:szCs w:val="22"/>
        </w:rPr>
        <w:t xml:space="preserve">, erfasst der Rückkanal das Wissen, das beim explorativen Arbeiten mit Morphing Projections (MP) entsteht, und schreibt es </w:t>
      </w:r>
      <w:r>
        <w:rPr>
          <w:i/>
          <w:iCs/>
          <w:sz w:val="22"/>
          <w:szCs w:val="22"/>
        </w:rPr>
        <w:t xml:space="preserve">zurück</w:t>
      </w:r>
      <w:r>
        <w:rPr>
          <w:sz w:val="22"/>
          <w:szCs w:val="22"/>
        </w:rPr>
        <w:t xml:space="preserve">. Theoretischer Rahmen ist das Wissensgenerierungs-Modell für Visual Analytics (Sacha et al., aufbauend auf van Wijk): Der Erkenntnisgewinn entsteht im Kreislauf aus Interaktion und Sicht – genau diesen Kreislauf soll DataBridge schließen. Das Dokument führt die möglichen Methoden auf und gibt eine Empfehlung für den Prototyp.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1  Ausgangslage: Interaktion in MP</w:t>
      </w:r>
    </w:p>
    <w:p>
      <w:pPr>
        <w:spacing w:after="130" w:line="280"/>
      </w:pPr>
      <w:r>
        <w:rPr>
          <w:sz w:val="22"/>
          <w:szCs w:val="22"/>
        </w:rPr>
        <w:t xml:space="preserve">MP bietet dem Arzt drei Interaktions-Primitive: Proben nach einem Attribut räumlich </w:t>
      </w:r>
      <w:r>
        <w:rPr>
          <w:b/>
          <w:bCs/>
          <w:sz w:val="22"/>
          <w:szCs w:val="22"/>
        </w:rPr>
        <w:t xml:space="preserve">anordnen</w:t>
      </w:r>
      <w:r>
        <w:rPr>
          <w:sz w:val="22"/>
          <w:szCs w:val="22"/>
        </w:rPr>
        <w:t xml:space="preserve">, per Slider zwischen Sichten </w:t>
      </w:r>
      <w:r>
        <w:rPr>
          <w:b/>
          <w:bCs/>
          <w:sz w:val="22"/>
          <w:szCs w:val="22"/>
        </w:rPr>
        <w:t xml:space="preserve">morphen</w:t>
      </w:r>
      <w:r>
        <w:rPr>
          <w:sz w:val="22"/>
          <w:szCs w:val="22"/>
        </w:rPr>
        <w:t xml:space="preserve">, und Probengruppen </w:t>
      </w:r>
      <w:r>
        <w:rPr>
          <w:b/>
          <w:bCs/>
          <w:sz w:val="22"/>
          <w:szCs w:val="22"/>
        </w:rPr>
        <w:t xml:space="preserve">selektieren</w:t>
      </w:r>
      <w:r>
        <w:rPr>
          <w:sz w:val="22"/>
          <w:szCs w:val="22"/>
        </w:rPr>
        <w:t xml:space="preserve">, die über verschiedene Sichten hinweg erhalten bleiben. Erkennt der Experte dabei ein Muster (etwa das gemeinsame Driften der sechs fehlklassifizierten PAAD-Proben aus Fallstudie 1 des Papers), entsteht wertvolles, aber </w:t>
      </w:r>
      <w:r>
        <w:rPr>
          <w:i/>
          <w:iCs/>
          <w:sz w:val="22"/>
          <w:szCs w:val="22"/>
        </w:rPr>
        <w:t xml:space="preserve">implizites</w:t>
      </w:r>
      <w:r>
        <w:rPr>
          <w:sz w:val="22"/>
          <w:szCs w:val="22"/>
        </w:rPr>
        <w:t xml:space="preserve"> Wissen – das heute nach dem Schließen des Browsers verloren ist. Der Rückkanal macht es persistent und maschinenlesbar.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2  Was genau erfassen? Anatomie einer Entdeckung</w:t>
      </w:r>
    </w:p>
    <w:p>
      <w:pPr>
        <w:spacing w:after="130" w:line="280"/>
      </w:pPr>
      <w:r>
        <w:rPr>
          <w:sz w:val="22"/>
          <w:szCs w:val="22"/>
        </w:rPr>
        <w:t xml:space="preserve">Eine „Entdeckung“ ist keine einzelne Zahl, sondern ein strukturiertes Ereignis. Diese Facetten muss der Rückkanal festhalten: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4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Facette</w:t>
            </w:r>
          </w:p>
        </w:tc>
        <w:tc>
          <w:tcPr>
            <w:tcW w:type="dxa" w:w="3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Beispiel (Fallstudie 1)</w:t>
            </w:r>
          </w:p>
        </w:tc>
      </w:tr>
      <w:tr>
        <w:tc>
          <w:tcPr>
            <w:tcW w:type="dxa" w:w="2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Subjekt (wer)</w:t>
            </w:r>
          </w:p>
        </w:tc>
        <w:tc>
          <w:tcPr>
            <w:tcW w:type="dxa" w:w="3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Urheber der Erkenntnis</w:t>
            </w:r>
          </w:p>
        </w:tc>
        <w:tc>
          <w:tcPr>
            <w:tcW w:type="dxa" w:w="3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Experte / Nutzer</w:t>
            </w:r>
          </w:p>
        </w:tc>
      </w:tr>
      <w:tr>
        <w:tc>
          <w:tcPr>
            <w:tcW w:type="dxa" w:w="23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Objekt (was)</w:t>
            </w:r>
          </w:p>
        </w:tc>
        <w:tc>
          <w:tcPr>
            <w:tcW w:type="dxa" w:w="3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selektierte Probenmenge</w:t>
            </w:r>
          </w:p>
        </w:tc>
        <w:tc>
          <w:tcPr>
            <w:tcW w:type="dxa" w:w="3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 PAAD-Proben</w:t>
            </w:r>
          </w:p>
        </w:tc>
      </w:tr>
      <w:tr>
        <w:tc>
          <w:tcPr>
            <w:tcW w:type="dxa" w:w="2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Aussage (warum)</w:t>
            </w:r>
          </w:p>
        </w:tc>
        <w:tc>
          <w:tcPr>
            <w:tcW w:type="dxa" w:w="3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Hypothese / neue Relation</w:t>
            </w:r>
          </w:p>
        </w:tc>
        <w:tc>
          <w:tcPr>
            <w:tcW w:type="dxa" w:w="3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„eigentlich PanNET, nicht PAAD“</w:t>
            </w:r>
          </w:p>
        </w:tc>
      </w:tr>
      <w:tr>
        <w:tc>
          <w:tcPr>
            <w:tcW w:type="dxa" w:w="23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Kontext</w:t>
            </w:r>
          </w:p>
        </w:tc>
        <w:tc>
          <w:tcPr>
            <w:tcW w:type="dxa" w:w="3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Sichten + Morph-Parameter t</w:t>
            </w:r>
          </w:p>
        </w:tc>
        <w:tc>
          <w:tcPr>
            <w:tcW w:type="dxa" w:w="3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Gen-tSNE ↔ miRNA-tSNE</w:t>
            </w:r>
          </w:p>
        </w:tc>
      </w:tr>
      <w:tr>
        <w:tc>
          <w:tcPr>
            <w:tcW w:type="dxa" w:w="2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Konfidenz</w:t>
            </w:r>
          </w:p>
        </w:tc>
        <w:tc>
          <w:tcPr>
            <w:tcW w:type="dxa" w:w="3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subjektive Sicherheit</w:t>
            </w:r>
          </w:p>
        </w:tc>
        <w:tc>
          <w:tcPr>
            <w:tcW w:type="dxa" w:w="3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hoch / 0.7</w:t>
            </w:r>
          </w:p>
        </w:tc>
      </w:tr>
      <w:tr>
        <w:tc>
          <w:tcPr>
            <w:tcW w:type="dxa" w:w="23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Zeit</w:t>
            </w:r>
          </w:p>
        </w:tc>
        <w:tc>
          <w:tcPr>
            <w:tcW w:type="dxa" w:w="3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Zeitstempel</w:t>
            </w:r>
          </w:p>
        </w:tc>
        <w:tc>
          <w:tcPr>
            <w:tcW w:type="dxa" w:w="3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2026-08-20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3  Der Rückkanal im Überblick</w:t>
      </w:r>
    </w:p>
    <w:p>
      <w:pPr>
        <w:spacing w:after="40" w:before="60"/>
        <w:jc w:val="center"/>
      </w:pPr>
      <w:r>
        <w:drawing>
          <wp:inline distT="0" distB="0" distL="0" distR="0">
            <wp:extent cx="6096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95959"/>
          <w:sz w:val="18"/>
          <w:szCs w:val="18"/>
        </w:rPr>
        <w:t xml:space="preserve">Abb. 1: Vom Interaktions-Ereignis zum Tripel. Die Erkenntnis wird erfasst, nach RDF übersetzt (mit RDF-star-Provenienz) und via SPARQL Update geschrieben; künftig reichert sie die Anordnung/Navigation wieder an.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4  Mögliche Methoden</w:t>
      </w:r>
    </w:p>
    <w:p>
      <w:pPr>
        <w:spacing w:after="130" w:line="280"/>
      </w:pPr>
      <w:r>
        <w:rPr>
          <w:sz w:val="22"/>
          <w:szCs w:val="22"/>
        </w:rPr>
        <w:t xml:space="preserve">Der Rückkanal lässt sich entlang von vier Entscheidungsachsen zusammensetzen. Pro Achse die Optionen mit kurzer Einordnung.</w:t>
      </w:r>
    </w:p>
    <w:p>
      <w:pPr>
        <w:pStyle w:val="Heading2"/>
        <w:spacing w:after="80" w:before="210"/>
      </w:pPr>
      <w:r>
        <w:rPr>
          <w:b/>
          <w:bCs/>
          <w:color w:val="2E74B5"/>
          <w:sz w:val="24"/>
          <w:szCs w:val="24"/>
        </w:rPr>
        <w:t xml:space="preserve">4.1  Erfassen der Interaktion (Capture)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REST-Event-Endpoint am Mediator. </w:t>
      </w:r>
      <w:r>
        <w:rPr>
          <w:sz w:val="22"/>
          <w:szCs w:val="22"/>
        </w:rPr>
        <w:t xml:space="preserve">Das Frontend sendet bei einer Selektion ein JSON-Event. Sauber entkoppelt, erfordert aber eine kleine Anpassung der Oviedo-Tools.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Explizite Annotations-UI. </w:t>
      </w:r>
      <w:r>
        <w:rPr>
          <w:sz w:val="22"/>
          <w:szCs w:val="22"/>
        </w:rPr>
        <w:t xml:space="preserve">Der Arzt bestätigt/benennt eine Erkenntnis aktiv (Tag, Notiz). Höhere Datenqualität, weniger Rauschen – aber Zusatzaufwand für den Nutzer.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Interaktions-Log / Event-Stream. </w:t>
      </w:r>
      <w:r>
        <w:rPr>
          <w:sz w:val="22"/>
          <w:szCs w:val="22"/>
        </w:rPr>
        <w:t xml:space="preserve">Das Tool protokolliert Interaktionen, der Mediator wertet sie aus. Kein UI-Eingriff, aber viel Rauschen und schwierige Intentionserkennung.</w:t>
      </w:r>
    </w:p>
    <w:p>
      <w:pPr>
        <w:pStyle w:val="Heading2"/>
        <w:spacing w:after="80" w:before="210"/>
      </w:pPr>
      <w:r>
        <w:rPr>
          <w:b/>
          <w:bCs/>
          <w:color w:val="2E74B5"/>
          <w:sz w:val="24"/>
          <w:szCs w:val="24"/>
        </w:rPr>
        <w:t xml:space="preserve">4.2  Modellierung in RDF (wie die Annotation aussieht)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RDF-star. </w:t>
      </w:r>
      <w:r>
        <w:rPr>
          <w:sz w:val="22"/>
          <w:szCs w:val="22"/>
        </w:rPr>
        <w:t xml:space="preserve">Provenienz und Konfidenz direkt an der Kern-Aussage (&lt;&lt; … &gt;&gt;). Schlank und konform zu ADR-0002.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Named Graph pro Sitzung/Nutzer. </w:t>
      </w:r>
      <w:r>
        <w:rPr>
          <w:sz w:val="22"/>
          <w:szCs w:val="22"/>
        </w:rPr>
        <w:t xml:space="preserve">Jede Erkenntnis landet in einem benannten Graphen – leicht zu isolieren, zu versionieren und zu widerrufen.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PROV-O + Web Annotation Data Model (oa). </w:t>
      </w:r>
      <w:r>
        <w:rPr>
          <w:sz w:val="22"/>
          <w:szCs w:val="22"/>
        </w:rPr>
        <w:t xml:space="preserve">W3C-Standards für Provenienz bzw. Annotationen – interoperabel und ausdrucksstark, aber etwas verboser.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Nanopublications. </w:t>
      </w:r>
      <w:r>
        <w:rPr>
          <w:sz w:val="22"/>
          <w:szCs w:val="22"/>
        </w:rPr>
        <w:t xml:space="preserve">Etabliertes biomedizinisches Muster (Assertion + Provenienz + Publikationsinfo als RDF). Zitierfähig, aber schwergewichtig für einen Prototyp.</w:t>
      </w:r>
    </w:p>
    <w:p>
      <w:pPr>
        <w:pStyle w:val="Heading2"/>
        <w:spacing w:after="80" w:before="210"/>
      </w:pPr>
      <w:r>
        <w:rPr>
          <w:b/>
          <w:bCs/>
          <w:color w:val="2E74B5"/>
          <w:sz w:val="24"/>
          <w:szCs w:val="24"/>
        </w:rPr>
        <w:t xml:space="preserve">4.3  Schreib-Mechanismus (Write)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SPARQL Update (INSERT DATA). </w:t>
      </w:r>
      <w:r>
        <w:rPr>
          <w:sz w:val="22"/>
          <w:szCs w:val="22"/>
        </w:rPr>
        <w:t xml:space="preserve">W3C-Standard, direkt von Jena/Fuseki unterstützt – der pragmatische Default.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SNQL-artiges Protokoll (Stadler). </w:t>
      </w:r>
      <w:r>
        <w:rPr>
          <w:sz w:val="22"/>
          <w:szCs w:val="22"/>
        </w:rPr>
        <w:t xml:space="preserve">Konzeptioneller Bezug aus deinen Quellen: dynamische Graph-Manipulation zur Laufzeit (insert/update/copy relation). Für den Bericht als theoretischer Rahmen, praktisch auf SPARQL Update abbildbar.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Graph Store HTTP Protocol. </w:t>
      </w:r>
      <w:r>
        <w:rPr>
          <w:sz w:val="22"/>
          <w:szCs w:val="22"/>
        </w:rPr>
        <w:t xml:space="preserve">REST-artiges Schreiben ganzer Graphen – praktisch in Kombination mit Named Graphs pro Sitzung.</w:t>
      </w:r>
    </w:p>
    <w:p>
      <w:pPr>
        <w:pStyle w:val="Heading2"/>
        <w:spacing w:after="80" w:before="210"/>
      </w:pPr>
      <w:r>
        <w:rPr>
          <w:b/>
          <w:bCs/>
          <w:color w:val="2E74B5"/>
          <w:sz w:val="24"/>
          <w:szCs w:val="24"/>
        </w:rPr>
        <w:t xml:space="preserve">4.4  Ablage / Trennung (Where)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Getrenntes persönliches Wissensnetz. </w:t>
      </w:r>
      <w:r>
        <w:rPr>
          <w:sz w:val="22"/>
          <w:szCs w:val="22"/>
        </w:rPr>
        <w:t xml:space="preserve">Nutzer-Erkenntnisse als eigene ABox/Named Graphs; die Kern-TBox (Schema) bleibt stabil und unverfälscht. Empfohlen.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Gemeinsames Netz mit Kuratierung. </w:t>
      </w:r>
      <w:r>
        <w:rPr>
          <w:sz w:val="22"/>
          <w:szCs w:val="22"/>
        </w:rPr>
        <w:t xml:space="preserve">Erkenntnisse fließen erst nach einem Review ins geteilte Netz – höhere Vertrauenswürdigkeit, mehr Prozess.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5  Vergleich &amp; Empfehlung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2400"/>
        <w:gridCol w:w="14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RDF-Modellierung</w:t>
            </w:r>
          </w:p>
        </w:tc>
        <w:tc>
          <w:tcPr>
            <w:tcW w:type="dxa" w:w="31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Stärke</w:t>
            </w:r>
          </w:p>
        </w:tc>
        <w:tc>
          <w:tcPr>
            <w:tcW w:type="dxa" w:w="2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Schwäche</w:t>
            </w:r>
          </w:p>
        </w:tc>
        <w:tc>
          <w:tcPr>
            <w:tcW w:type="dxa" w:w="1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Prototyp</w:t>
            </w:r>
          </w:p>
        </w:tc>
      </w:tr>
      <w:tr>
        <w:tc>
          <w:tcPr>
            <w:tcW w:type="dxa" w:w="25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RDF-star</w:t>
            </w:r>
          </w:p>
        </w:tc>
        <w:tc>
          <w:tcPr>
            <w:tcW w:type="dxa" w:w="3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Provenienz an der Aussage, schlank</w:t>
            </w:r>
          </w:p>
        </w:tc>
        <w:tc>
          <w:tcPr>
            <w:tcW w:type="dxa" w:w="2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Standard noch jung (RDF 1.2 CR)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Ja (Kern)</w:t>
            </w:r>
          </w:p>
        </w:tc>
      </w:tr>
      <w:tr>
        <w:tc>
          <w:tcPr>
            <w:tcW w:type="dxa" w:w="25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Named Graph / Sitzung</w:t>
            </w:r>
          </w:p>
        </w:tc>
        <w:tc>
          <w:tcPr>
            <w:tcW w:type="dxa" w:w="3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Isolation, widerrufbar</w:t>
            </w:r>
          </w:p>
        </w:tc>
        <w:tc>
          <w:tcPr>
            <w:tcW w:type="dxa" w:w="2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Provenienz separat</w:t>
            </w:r>
          </w:p>
        </w:tc>
        <w:tc>
          <w:tcPr>
            <w:tcW w:type="dxa" w:w="1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Ja (Ablage)</w:t>
            </w:r>
          </w:p>
        </w:tc>
      </w:tr>
      <w:tr>
        <w:tc>
          <w:tcPr>
            <w:tcW w:type="dxa" w:w="25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PROV-O + oa:Annotation</w:t>
            </w:r>
          </w:p>
        </w:tc>
        <w:tc>
          <w:tcPr>
            <w:tcW w:type="dxa" w:w="3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W3C-Standard, interoperabel</w:t>
            </w:r>
          </w:p>
        </w:tc>
        <w:tc>
          <w:tcPr>
            <w:tcW w:type="dxa" w:w="2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verboser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teilweise</w:t>
            </w:r>
          </w:p>
        </w:tc>
      </w:tr>
      <w:tr>
        <w:tc>
          <w:tcPr>
            <w:tcW w:type="dxa" w:w="25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Nanopublications</w:t>
            </w:r>
          </w:p>
        </w:tc>
        <w:tc>
          <w:tcPr>
            <w:tcW w:type="dxa" w:w="3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biomed-Referenz, zitierfähig</w:t>
            </w:r>
          </w:p>
        </w:tc>
        <w:tc>
          <w:tcPr>
            <w:tcW w:type="dxa" w:w="2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schwergewichtig</w:t>
            </w:r>
          </w:p>
        </w:tc>
        <w:tc>
          <w:tcPr>
            <w:tcW w:type="dxa" w:w="1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später</w:t>
            </w:r>
          </w:p>
        </w:tc>
      </w:tr>
    </w:tbl>
    <w:p>
      <w:pPr>
        <w:spacing w:after="130" w:line="280"/>
      </w:pPr>
      <w:r>
        <w:rPr>
          <w:b/>
          <w:bCs/>
          <w:sz w:val="22"/>
          <w:szCs w:val="22"/>
        </w:rPr>
        <w:t xml:space="preserve">Empfehlung für den Prototyp: </w:t>
      </w:r>
      <w:r>
        <w:rPr>
          <w:sz w:val="22"/>
          <w:szCs w:val="22"/>
        </w:rPr>
        <w:t xml:space="preserve">REST-Event-Endpoint (4.1) → Modellierung als </w:t>
      </w:r>
      <w:r>
        <w:rPr>
          <w:rFonts w:ascii="Consolas" w:cs="Consolas" w:eastAsia="Consolas" w:hAnsi="Consolas"/>
          <w:sz w:val="20"/>
          <w:szCs w:val="20"/>
        </w:rPr>
        <w:t xml:space="preserve">oa:Annotation</w:t>
      </w:r>
      <w:r>
        <w:rPr>
          <w:sz w:val="22"/>
          <w:szCs w:val="22"/>
        </w:rPr>
        <w:t xml:space="preserve"> mit PROV-O-Metadaten und RDF-star für die Kern-Aussage (4.2), abgelegt in einem </w:t>
      </w:r>
      <w:r>
        <w:rPr>
          <w:sz w:val="22"/>
          <w:szCs w:val="22"/>
        </w:rPr>
        <w:t xml:space="preserve">Named Graph pro Nutzer/Sitzung</w:t>
      </w:r>
      <w:r>
        <w:rPr>
          <w:sz w:val="22"/>
          <w:szCs w:val="22"/>
        </w:rPr>
        <w:t xml:space="preserve"> (4.4), geschrieben per </w:t>
      </w:r>
      <w:r>
        <w:rPr>
          <w:sz w:val="22"/>
          <w:szCs w:val="22"/>
        </w:rPr>
        <w:t xml:space="preserve">SPARQL Update</w:t>
      </w:r>
      <w:r>
        <w:rPr>
          <w:sz w:val="22"/>
          <w:szCs w:val="22"/>
        </w:rPr>
        <w:t xml:space="preserve"> (4.3) – konzeptionell als SNQL-Protokoll gerahmt. Das nutzt W3C-Standards, bleibt schlank und hält die Kern-TBox sauber getrennt.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6  Konkretes Beispiel: PAAD → PanNET (Fallstudie 1)</w:t>
      </w:r>
    </w:p>
    <w:p>
      <w:pPr>
        <w:spacing w:after="130" w:line="280"/>
      </w:pPr>
      <w:r>
        <w:rPr>
          <w:sz w:val="22"/>
          <w:szCs w:val="22"/>
        </w:rPr>
        <w:t xml:space="preserve">Der Arzt selektiert die sechs gemeinsam driftenden Proben und markiert sie als mögliche Fehlklassifikation. Daraus entsteht:</w:t>
      </w:r>
    </w:p>
    <w:p>
      <w:pPr>
        <w:pBdr>
          <w:top w:val="single" w:color="D0D5DD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db:   &lt;http://databridge.hka/onto#&gt;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oa:   &lt;http://www.w3.org/ns/oa#&gt;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prov: &lt;http://www.w3.org/ns/prov#&gt;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rdfs: &lt;http://www.w3.org/2000/01/rdf-schema#&gt;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@prefix xsd:  &lt;http://www.w3.org/2001/XMLSchema#&gt;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db:anno-0421 a oa:Annotation , db:ExpertFinding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prov:wasAttributedTo db:user-nvaldes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prov:generatedAtTime "2026-08-20T14:12:00"^^xsd:dateTime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db:inView    "gene-tSNE &lt;-&gt; miRNA-tSNE"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db:morphParam 1.0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db:confidence "hoch"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oa:hasTarget ( db:sample-TCGA-2J-AAB1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             db:sample-TCGA-3A-AAL5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             db:sample-TCGA-HZ-A4BH ) ;   # 6 Proben (gekürzt)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db:hypothesis [ a db:Reclassification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  db:from ncit:PAAD ; db:to ncit:PanNET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  rdfs:comment "Common fate: driften gemeinsam zum PCPG-Cluster" ]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# RDF-star: Konfidenz/Provenienz direkt an der Kern-Aussage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&lt;&lt; db:sample-TCGA-2J-AAB1 db:reclassifiedAs ncit:PanNET &gt;&gt;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prov:wasDerivedFrom db:anno-0421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db:confidence 0.7 .</w:t>
      </w:r>
    </w:p>
    <w:p>
      <w:pPr>
        <w:pBdr>
          <w:left w:val="single" w:color="2E74B5" w:sz="18" w:space="10"/>
        </w:pBdr>
        <w:spacing w:after="120" w:before="80"/>
      </w:pPr>
      <w:r>
        <w:rPr>
          <w:b/>
          <w:bCs/>
          <w:color w:val="2E74B5"/>
          <w:sz w:val="22"/>
          <w:szCs w:val="22"/>
        </w:rPr>
        <w:t xml:space="preserve">Kernidee: </w:t>
      </w:r>
      <w:r>
        <w:rPr>
          <w:sz w:val="21"/>
          <w:szCs w:val="21"/>
        </w:rPr>
        <w:t xml:space="preserve">Die Geste des Arztes wird zu einer nachvollziehbaren, widerrufbaren Aussage – mit Urheber, Sicht, Zeitpunkt und Konfidenz. So lernt das Wissensnetz aus der Analyse, ohne dass ungeprüfte Fakten die Kern-Ontologie verunreinigen.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7  Offene Punkte &amp; nächste Schritte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Abstimmung mit Oviedo: </w:t>
      </w:r>
      <w:r>
        <w:rPr>
          <w:sz w:val="22"/>
          <w:szCs w:val="22"/>
        </w:rPr>
        <w:t xml:space="preserve">Kann MP ein Selektions-Event senden (kleiner Frontend-Eingriff), oder wird der Rückkanal zunächst mit simulierten Events prototypisch gezeigt?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Vokabular festlegen: </w:t>
      </w:r>
      <w:r>
        <w:rPr>
          <w:sz w:val="22"/>
          <w:szCs w:val="22"/>
        </w:rPr>
        <w:t xml:space="preserve">eigene Properties (</w:t>
      </w:r>
      <w:r>
        <w:rPr>
          <w:rFonts w:ascii="Consolas" w:cs="Consolas" w:eastAsia="Consolas" w:hAnsi="Consolas"/>
          <w:sz w:val="20"/>
          <w:szCs w:val="20"/>
        </w:rPr>
        <w:t xml:space="preserve">db:ExpertFinding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db:hypothesis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db:reclassifiedAs</w:t>
      </w:r>
      <w:r>
        <w:rPr>
          <w:sz w:val="22"/>
          <w:szCs w:val="22"/>
        </w:rPr>
        <w:t xml:space="preserve">) definieren und wo sinnvoll auf oa/PROV-O abbilden.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Vertrauens-/Review-Modell: </w:t>
      </w:r>
      <w:r>
        <w:rPr>
          <w:sz w:val="22"/>
          <w:szCs w:val="22"/>
        </w:rPr>
        <w:t xml:space="preserve">bleiben Erkenntnisse „privat“ oder gibt es einen Weg ins geteilte Netz (Kuratierung)?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Proof-of-Concept: </w:t>
      </w:r>
      <w:r>
        <w:rPr>
          <w:sz w:val="22"/>
          <w:szCs w:val="22"/>
        </w:rPr>
        <w:t xml:space="preserve">ein simuliertes Selektions-Event → Turtle → per SPARQL Update in einen Named Graph in Fuseki schreiben und zurückabfragen.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8  Quellen</w:t>
      </w:r>
    </w:p>
    <w:p>
      <w:pPr>
        <w:pStyle w:val="ListParagraph"/>
        <w:numPr>
          <w:ilvl w:val="0"/>
          <w:numId w:val="1"/>
        </w:numPr>
        <w:spacing w:after="70"/>
      </w:pPr>
      <w:hyperlink w:history="1" r:id="rIdt0ur_znfzt367gternzxu">
        <w:r>
          <w:rPr>
            <w:color w:val="2E74B5"/>
            <w:sz w:val="22"/>
            <w:szCs w:val="22"/>
            <w:u w:val="single"/>
          </w:rPr>
          <w:t xml:space="preserve">Sacha et al. – Knowledge Generation Model for Visual Analytics (2014)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bypatanhn-as_qrvfkres">
        <w:r>
          <w:rPr>
            <w:color w:val="2E74B5"/>
            <w:sz w:val="22"/>
            <w:szCs w:val="22"/>
            <w:u w:val="single"/>
          </w:rPr>
          <w:t xml:space="preserve">Díaz et al. – Morphing projections (Bioinformatics 2021)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u6ekqffbpcekziilz68ma">
        <w:r>
          <w:rPr>
            <w:color w:val="2E74B5"/>
            <w:sz w:val="22"/>
            <w:szCs w:val="22"/>
            <w:u w:val="single"/>
          </w:rPr>
          <w:t xml:space="preserve">W3C – PROV-O: The PROV Ontology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y_wdmtuc6ebwehpgpu3ip">
        <w:r>
          <w:rPr>
            <w:color w:val="2E74B5"/>
            <w:sz w:val="22"/>
            <w:szCs w:val="22"/>
            <w:u w:val="single"/>
          </w:rPr>
          <w:t xml:space="preserve">W3C – Web Annotation Data Model (oa)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k-e_aumpwxw49ap_uagu0">
        <w:r>
          <w:rPr>
            <w:color w:val="2E74B5"/>
            <w:sz w:val="22"/>
            <w:szCs w:val="22"/>
            <w:u w:val="single"/>
          </w:rPr>
          <w:t xml:space="preserve">W3C – SPARQL 1.2 (Update, RDF-star)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cgfwewkeiuom54kx9x_j0">
        <w:r>
          <w:rPr>
            <w:color w:val="2E74B5"/>
            <w:sz w:val="22"/>
            <w:szCs w:val="22"/>
            <w:u w:val="single"/>
          </w:rPr>
          <w:t xml:space="preserve">Nanopublications – Konzept &amp; Guidelines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wissensnetz/Mapping-Konzept_GDC-zu-RDF-OWL.docx</w:t>
      </w:r>
      <w:r>
        <w:rPr>
          <w:sz w:val="20"/>
          <w:szCs w:val="20"/>
        </w:rPr>
        <w:t xml:space="preserve">  – Gegenstück (Daten hinein)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docs/adr/0002-graph-db-wahl-offen.md</w:t>
      </w:r>
      <w:r>
        <w:rPr>
          <w:sz w:val="20"/>
          <w:szCs w:val="20"/>
        </w:rPr>
        <w:t xml:space="preserve">  – RDF/OWL + RDF-star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0ur_znfzt367gternzxu" Type="http://schemas.openxmlformats.org/officeDocument/2006/relationships/hyperlink" Target="https://www.semanticscholar.org/paper/Knowledge-Generation-Model-for-Visual-Analytics-Sacha-Stoffel/f31c3bc7c2d63b28ee53b807ee9cffcbc6208901" TargetMode="External"/><Relationship Id="rIdbypatanhn-as_qrvfkres" Type="http://schemas.openxmlformats.org/officeDocument/2006/relationships/hyperlink" Target="https://doi.org/10.1093/bioinformatics/btaa989" TargetMode="External"/><Relationship Id="rIdu6ekqffbpcekziilz68ma" Type="http://schemas.openxmlformats.org/officeDocument/2006/relationships/hyperlink" Target="https://www.w3.org/TR/prov-o/" TargetMode="External"/><Relationship Id="rIdy_wdmtuc6ebwehpgpu3ip" Type="http://schemas.openxmlformats.org/officeDocument/2006/relationships/hyperlink" Target="https://www.w3.org/TR/annotation-model/" TargetMode="External"/><Relationship Id="rIdk-e_aumpwxw49ap_uagu0" Type="http://schemas.openxmlformats.org/officeDocument/2006/relationships/hyperlink" Target="https://www.w3.org/TR/sparql12-query/" TargetMode="External"/><Relationship Id="rIdcgfwewkeiuom54kx9x_j0" Type="http://schemas.openxmlformats.org/officeDocument/2006/relationships/hyperlink" Target="https://nanopub.net/" TargetMode="External"/><Relationship Id="rId7" Type="http://schemas.openxmlformats.org/officeDocument/2006/relationships/image" Target="media/b3940c1214d0f0a3f6b433b03a179889fb8d3b1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Rückkanal-Konzept: MP → RDF</dc:title>
  <dc:creator>DataBridge / Marcel Thiel</dc:creator>
  <cp:lastModifiedBy>Un-named</cp:lastModifiedBy>
  <cp:revision>1</cp:revision>
  <dcterms:created xsi:type="dcterms:W3CDTF">2026-08-20T12:08:08.823Z</dcterms:created>
  <dcterms:modified xsi:type="dcterms:W3CDTF">2026-08-20T12:08:08.832Z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