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Architekturentscheidung (ADR-0002)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Wahl der Graph-Speicherung für das Wissensnetz</w:t>
      </w:r>
    </w:p>
    <w:p>
      <w:pPr>
        <w:pBdr>
          <w:bottom w:val="single" w:color="2E74B5" w:sz="12" w:space="6"/>
        </w:pBdr>
        <w:spacing w:after="160"/>
      </w:pPr>
      <w:r>
        <w:rPr>
          <w:color w:val="595959"/>
          <w:sz w:val="20"/>
          <w:szCs w:val="20"/>
        </w:rPr>
        <w:t xml:space="preserve">Projekt DataBridge · 26ss_CB_DataBridge · HS Karlsruhe / Universität Oviedo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2E7D32"/>
          <w:sz w:val="22"/>
          <w:szCs w:val="22"/>
        </w:rPr>
        <w:t xml:space="preserve">Angenommen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Datum: </w:t>
      </w:r>
      <w:r>
        <w:rPr>
          <w:sz w:val="22"/>
          <w:szCs w:val="22"/>
        </w:rPr>
        <w:t xml:space="preserve">15.08.2026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Entscheidung: </w:t>
      </w:r>
      <w:r>
        <w:rPr>
          <w:i/>
          <w:iCs/>
          <w:sz w:val="22"/>
          <w:szCs w:val="22"/>
        </w:rPr>
        <w:t xml:space="preserve">RDF-Triple-Store mit OWL (Apache Jena Fuseki/TDB2), Kanten-Metadaten via RDF-star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Kontext</w:t>
      </w:r>
    </w:p>
    <w:p>
      <w:pPr>
        <w:spacing w:after="120" w:line="276"/>
      </w:pPr>
      <w:r>
        <w:rPr>
          <w:sz w:val="22"/>
          <w:szCs w:val="22"/>
        </w:rPr>
        <w:t xml:space="preserve">DataBridge bereitet Daten aus öffentlichen Repositorien (Testfall: GDC/TCGA) für Visualisierungswerkzeuge im Bereich Onkologie/Genetik auf. Für die Graph-Speicherung des Wissensnetzes standen zwei grundlegende Modelle zur Wahl: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RDF-Triple-Store </w:t>
      </w:r>
      <w:r>
        <w:rPr>
          <w:sz w:val="22"/>
          <w:szCs w:val="22"/>
        </w:rPr>
        <w:t xml:space="preserve">(z. B. Apache Jena TDB2) – Subjekt-Prädikat-Objekt-Tripel, W3C-Standardstack (RDFS/OWL/SPARQL), formale Semantik/Reasoning, Stärke bei Ontologie-Integration.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Property-Graph </w:t>
      </w:r>
      <w:r>
        <w:rPr>
          <w:sz w:val="22"/>
          <w:szCs w:val="22"/>
        </w:rPr>
        <w:t xml:space="preserve">(z. B. Neo4j, JanusGraph, Memgraph) – Knoten/Kanten mit direkten Properties, Abfragen via Cypher/Gremlin/GQL, Stärke bei Performance und intuitiver Modellierung.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Entscheidungskriterien</w:t>
      </w:r>
    </w:p>
    <w:p>
      <w:pPr>
        <w:spacing w:after="120" w:line="276"/>
      </w:pPr>
      <w:r>
        <w:rPr>
          <w:sz w:val="22"/>
          <w:szCs w:val="22"/>
        </w:rPr>
        <w:t xml:space="preserve">Die Kriterien sind projektspezifisch gewichtet, nicht allgemeingültig: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400"/>
        <w:gridCol w:w="44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4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Bewertung für DataBridge</w:t>
            </w:r>
          </w:p>
        </w:tc>
      </w:tr>
      <w:tr>
        <w:tc>
          <w:tcPr>
            <w:tcW w:type="dxa" w:w="62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Interoperabilität mit Bio-Ontologien (GO, NCIt, DO, SO – nativ OWL/OBO)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Klar RDF/OWL: direkter Import &amp; Alignment; Property-Graph bräuchte verlustbehaftete Konvertierung.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Flexibilität gegenüber sich entwickelnden Ontologien (Projektkernziel)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RDF/OWL: etablierte, werkzeuggestützte Versionierung/Alignment (Protégé, OWL API).</w:t>
            </w:r>
          </w:p>
        </w:tc>
      </w:tr>
      <w:tr>
        <w:tc>
          <w:tcPr>
            <w:tcW w:type="dxa" w:w="62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Formale Semantik / Reasoning für semantische Anreicherung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Nur RDF/OWL bietet standardisierte Description-Logic-Semantik.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Kanten-Metadaten (Provenance, Konfidenz, Quelle je Beziehung)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Klassisch Property-Graph – mit RDF-star nun auch in RDF ergonomisch.</w:t>
            </w:r>
          </w:p>
        </w:tc>
      </w:tr>
      <w:tr>
        <w:tc>
          <w:tcPr>
            <w:tcW w:type="dxa" w:w="62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5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Knowledge Transfer / dynamisches Zurückschreiben (SNQL-artig)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SPARQL Update + TBox/ABox-Trennung passen begrifflich exakt.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FAIR-Prinzipien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RDF/Linked Data ist der kanonische, standardnahe Weg.</w:t>
            </w:r>
          </w:p>
        </w:tc>
      </w:tr>
      <w:tr>
        <w:tc>
          <w:tcPr>
            <w:tcW w:type="dxa" w:w="62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7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Analytics-/Traversierungs-Performance auf Messmatrizen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Entlastet: Genexpressionsmatrizen liegen in anndata/Scanpy, nicht im Graphen.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Entscheidung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Gewählt wird ein RDF-Triple-Store mit OWL (Apache Jena Fuseki / TDB2), unter Nutzung von RDF-star für Kanten-Metadaten. </w:t>
      </w:r>
      <w:r>
        <w:rPr>
          <w:sz w:val="22"/>
          <w:szCs w:val="22"/>
        </w:rPr>
        <w:t xml:space="preserve">Ausschlaggebend ist die Kombination aus nativer Interoperabilität mit den OWL/OBO-Bio-Ontologien, werkzeuggestützter Ontologie-Evolution als erklärtem Projektkern, formaler Semantik für die semantische Anreicherung und der begrifflich passenden TBox/ABox-Trennung für den Knowledge-Transfer. Die beiden traditionellen Property-Graph-Vorteile wiegen hier gering: Kanten-Metadaten löst RDF-star, und die Analytics-Last liegt ausgelagert in anndata, nicht im Graphen.</w:t>
      </w:r>
    </w:p>
    <w:p>
      <w:pPr>
        <w:spacing w:after="120" w:line="276"/>
      </w:pPr>
      <w:r>
        <w:rPr>
          <w:sz w:val="22"/>
          <w:szCs w:val="22"/>
        </w:rPr>
        <w:t xml:space="preserve">Die Entscheidung bestätigt zugleich den bisherigen Platzhalter (Jena Fuseki/TDB2) – es entsteht </w:t>
      </w:r>
      <w:r>
        <w:rPr>
          <w:b/>
          <w:bCs/>
          <w:sz w:val="22"/>
          <w:szCs w:val="22"/>
        </w:rPr>
        <w:t xml:space="preserve">kein Infrastruktur-Wechsel</w:t>
      </w:r>
      <w:r>
        <w:rPr>
          <w:sz w:val="22"/>
          <w:szCs w:val="22"/>
        </w:rPr>
        <w:t xml:space="preserve">. Der Service-Name </w:t>
      </w:r>
      <w:r>
        <w:rPr>
          <w:rFonts w:ascii="Consolas" w:cs="Consolas" w:eastAsia="Consolas" w:hAnsi="Consolas"/>
          <w:sz w:val="22"/>
          <w:szCs w:val="22"/>
        </w:rPr>
        <w:t xml:space="preserve">graph-db</w:t>
      </w:r>
      <w:r>
        <w:rPr>
          <w:sz w:val="22"/>
          <w:szCs w:val="22"/>
        </w:rPr>
        <w:t xml:space="preserve"> in der docker-compose bleibt unverändert.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Verworfene Alternativen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Property-Graph (Neo4j/JanusGraph/Memgraph). </w:t>
      </w:r>
      <w:r>
        <w:rPr>
          <w:sz w:val="22"/>
          <w:szCs w:val="22"/>
        </w:rPr>
        <w:t xml:space="preserve">Bio-Ontologien müssten konvertiert werden; keine standardisierte formale Semantik/Reasoning; keine formale TBox/ABox-Trennung. Die Vorteile (Kanten-Properties, schnelle Traversierung) sind für diesen Anwendungsfall nicht ausschlaggebend.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Hybrides Modell (RDF + Property-Graph). </w:t>
      </w:r>
      <w:r>
        <w:rPr>
          <w:sz w:val="22"/>
          <w:szCs w:val="22"/>
        </w:rPr>
        <w:t xml:space="preserve">Konzeptionell attraktiv, verdoppelt aber Betriebs- und Synchronisationsaufwand; die verlustfreie RDF↔PG-Transformation ist ein offenes Forschungsfeld – für ein Semester-Projekt zu aufwändig. Bleibt dokumentierte Ausbau-Option.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Konsequenzen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2"/>
          <w:szCs w:val="22"/>
        </w:rPr>
        <w:t xml:space="preserve">Der Mediator bindet die Zugriffsschicht an </w:t>
      </w:r>
      <w:r>
        <w:rPr>
          <w:b/>
          <w:bCs/>
          <w:sz w:val="22"/>
          <w:szCs w:val="22"/>
        </w:rPr>
        <w:t xml:space="preserve">SPARQL</w:t>
      </w:r>
      <w:r>
        <w:rPr>
          <w:sz w:val="22"/>
          <w:szCs w:val="22"/>
        </w:rPr>
        <w:t xml:space="preserve"> (Abfrage) und </w:t>
      </w:r>
      <w:r>
        <w:rPr>
          <w:b/>
          <w:bCs/>
          <w:sz w:val="22"/>
          <w:szCs w:val="22"/>
        </w:rPr>
        <w:t xml:space="preserve">SPARQL Update</w:t>
      </w:r>
      <w:r>
        <w:rPr>
          <w:sz w:val="22"/>
          <w:szCs w:val="22"/>
        </w:rPr>
        <w:t xml:space="preserve"> (Schreiben/Knowledge-Transfer); keine Cypher/Gremlin-Kopplung. Noch zu implementieren.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2"/>
          <w:szCs w:val="22"/>
        </w:rPr>
        <w:t xml:space="preserve">Tooling für den Wissensnetz-Teil: </w:t>
      </w:r>
      <w:r>
        <w:rPr>
          <w:rFonts w:ascii="Consolas" w:cs="Consolas" w:eastAsia="Consolas" w:hAnsi="Consolas"/>
          <w:sz w:val="22"/>
          <w:szCs w:val="22"/>
        </w:rPr>
        <w:t xml:space="preserve">rdflib</w:t>
      </w:r>
      <w:r>
        <w:rPr>
          <w:sz w:val="22"/>
          <w:szCs w:val="22"/>
        </w:rPr>
        <w:t xml:space="preserve"> (Python, passt zum FastAPI-Mediator), Apache Jena/Fuseki als Store + SPARQL-Endpoint, Protégé + OWL API für Ontologie-Design und -Evolution.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2"/>
          <w:szCs w:val="22"/>
        </w:rPr>
        <w:t xml:space="preserve">Kanten-Metadaten (Provenance/Konfidenz/Version) über </w:t>
      </w:r>
      <w:r>
        <w:rPr>
          <w:b/>
          <w:bCs/>
          <w:sz w:val="22"/>
          <w:szCs w:val="22"/>
        </w:rPr>
        <w:t xml:space="preserve">RDF-star</w:t>
      </w:r>
      <w:r>
        <w:rPr>
          <w:sz w:val="22"/>
          <w:szCs w:val="22"/>
        </w:rPr>
        <w:t xml:space="preserve"> statt klassischer Reifikation; Jena unterstützt RDF-star in Fuseki und TDB2 standardmäßig.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2"/>
          <w:szCs w:val="22"/>
        </w:rPr>
        <w:t xml:space="preserve">Der </w:t>
      </w:r>
      <w:r>
        <w:rPr>
          <w:rFonts w:ascii="Consolas" w:cs="Consolas" w:eastAsia="Consolas" w:hAnsi="Consolas"/>
          <w:sz w:val="22"/>
          <w:szCs w:val="22"/>
        </w:rPr>
        <w:t xml:space="preserve">anndata</w:t>
      </w:r>
      <w:r>
        <w:rPr>
          <w:sz w:val="22"/>
          <w:szCs w:val="22"/>
        </w:rPr>
        <w:t xml:space="preserve">-Export bleibt die numerische Analyseschicht und wird nicht durch den Graphen ersetzt – beide sind komplementär (Semantik/Metadaten vs. Messmatrix).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i/>
          <w:iCs/>
          <w:sz w:val="22"/>
          <w:szCs w:val="22"/>
        </w:rPr>
        <w:t xml:space="preserve">Revidieren, falls </w:t>
      </w:r>
      <w:r>
        <w:rPr>
          <w:sz w:val="22"/>
          <w:szCs w:val="22"/>
        </w:rPr>
        <w:t xml:space="preserve">die Visualisierungs-/Analytics-Schicht später große graph-native Traversierungs-Workloads direkt auf dem Wissensnetz verlangt – aktuell unwahrscheinlich, da diese Daten in anndata liegen.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Quellen</w:t>
      </w:r>
    </w:p>
    <w:p>
      <w:pPr>
        <w:pStyle w:val="ListParagraph"/>
        <w:numPr>
          <w:ilvl w:val="0"/>
          <w:numId w:val="1"/>
        </w:numPr>
        <w:spacing w:after="80" w:line="276"/>
      </w:pPr>
      <w:hyperlink w:history="1" r:id="rIda5-istzwj-gb704zlptwj">
        <w:r>
          <w:rPr>
            <w:color w:val="2E74B5"/>
            <w:sz w:val="22"/>
            <w:szCs w:val="22"/>
            <w:u w:val="single"/>
          </w:rPr>
          <w:t xml:space="preserve">Apache Jena – Support of RDF-star</w:t>
        </w:r>
      </w:hyperlink>
    </w:p>
    <w:p>
      <w:pPr>
        <w:pStyle w:val="ListParagraph"/>
        <w:numPr>
          <w:ilvl w:val="0"/>
          <w:numId w:val="1"/>
        </w:numPr>
        <w:spacing w:after="80" w:line="276"/>
      </w:pPr>
      <w:hyperlink w:history="1" r:id="rId6ux25bdpn4mnzrjxw3czo">
        <w:r>
          <w:rPr>
            <w:color w:val="2E74B5"/>
            <w:sz w:val="22"/>
            <w:szCs w:val="22"/>
            <w:u w:val="single"/>
          </w:rPr>
          <w:t xml:space="preserve">Apache Jena – TDB2</w:t>
        </w:r>
      </w:hyperlink>
    </w:p>
    <w:p>
      <w:pPr>
        <w:pStyle w:val="ListParagraph"/>
        <w:numPr>
          <w:ilvl w:val="0"/>
          <w:numId w:val="1"/>
        </w:numPr>
        <w:spacing w:after="80" w:line="276"/>
      </w:pPr>
      <w:hyperlink w:history="1" r:id="rIduqkim18jdsbxnq1tfsjn6">
        <w:r>
          <w:rPr>
            <w:color w:val="2E74B5"/>
            <w:sz w:val="22"/>
            <w:szCs w:val="22"/>
            <w:u w:val="single"/>
          </w:rPr>
          <w:t xml:space="preserve">W3C – SPARQL 1.2 Query Language (RDF 1.2 / RDF-star, Candidate Recommendation)</w:t>
        </w:r>
      </w:hyperlink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onsolas" w:cs="Consolas" w:eastAsia="Consolas" w:hAnsi="Consolas"/>
          <w:sz w:val="22"/>
          <w:szCs w:val="22"/>
        </w:rPr>
        <w:t xml:space="preserve">recherche/DataBridge_Literaturrecherche.md</w:t>
      </w:r>
      <w:r>
        <w:rPr>
          <w:sz w:val="22"/>
          <w:szCs w:val="22"/>
        </w:rPr>
        <w:t xml:space="preserve">, Teil 2 (RDF/OWL vs. Property Graph)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5-istzwj-gb704zlptwj" Type="http://schemas.openxmlformats.org/officeDocument/2006/relationships/hyperlink" Target="https://jena.apache.org/documentation/rdf-star/" TargetMode="External"/><Relationship Id="rId6ux25bdpn4mnzrjxw3czo" Type="http://schemas.openxmlformats.org/officeDocument/2006/relationships/hyperlink" Target="https://jena.apache.org/documentation/tdb2/" TargetMode="External"/><Relationship Id="rIduqkim18jdsbxnq1tfsjn6" Type="http://schemas.openxmlformats.org/officeDocument/2006/relationships/hyperlink" Target="https://www.w3.org/TR/sparql12-quer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ADR-0002 – Wahl der Graph-Speicherung</dc:title>
  <dc:creator>DataBridge</dc:creator>
  <cp:lastModifiedBy>Un-named</cp:lastModifiedBy>
  <cp:revision>1</cp:revision>
  <dcterms:created xsi:type="dcterms:W3CDTF">2026-08-15T17:18:24.652Z</dcterms:created>
  <dcterms:modified xsi:type="dcterms:W3CDTF">2026-08-15T17:18:24.653Z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