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595959"/>
          <w:sz w:val="20"/>
          <w:szCs w:val="20"/>
        </w:rPr>
        <w:t xml:space="preserve">KONZEPT-ENTWURF · ZUM EINLESEN</w:t>
      </w:r>
    </w:p>
    <w:p>
      <w:pPr>
        <w:spacing w:after="60"/>
      </w:pPr>
      <w:r>
        <w:rPr>
          <w:b/>
          <w:bCs/>
          <w:color w:val="1F3864"/>
          <w:sz w:val="46"/>
          <w:szCs w:val="46"/>
        </w:rPr>
        <w:t xml:space="preserve">Das Wissensnetz in DataBridge</w:t>
      </w:r>
    </w:p>
    <w:p>
      <w:pPr>
        <w:spacing w:after="60"/>
      </w:pPr>
      <w:r>
        <w:rPr>
          <w:color w:val="2E74B5"/>
          <w:sz w:val="26"/>
          <w:szCs w:val="26"/>
        </w:rPr>
        <w:t xml:space="preserve">Semantische Schicht: Ontologie, RDF/OWL-Graph und Wissensrückfluss</w:t>
      </w:r>
    </w:p>
    <w:p>
      <w:pPr>
        <w:pBdr>
          <w:bottom w:val="single" w:color="2E74B5" w:sz="12" w:space="6"/>
        </w:pBdr>
        <w:spacing w:after="150"/>
      </w:pPr>
      <w:r>
        <w:rPr>
          <w:color w:val="595959"/>
          <w:sz w:val="20"/>
          <w:szCs w:val="20"/>
        </w:rPr>
        <w:t xml:space="preserve">Projekt DataBridge · 26ss_CB_DataBridge · HS Karlsruhe / Universität Oviedo</w:t>
      </w:r>
    </w:p>
    <w:p>
      <w:pPr>
        <w:spacing w:after="130" w:line="280"/>
      </w:pPr>
      <w:r>
        <w:rPr>
          <w:b/>
          <w:bCs/>
          <w:sz w:val="22"/>
          <w:szCs w:val="22"/>
        </w:rPr>
        <w:t xml:space="preserve">Bearbeiter: </w:t>
      </w:r>
      <w:r>
        <w:rPr>
          <w:sz w:val="22"/>
          <w:szCs w:val="22"/>
        </w:rPr>
        <w:t xml:space="preserve">Marcel Thiel (Teilbereich Wissensnetz)</w:t>
      </w:r>
      <w:r>
        <w:rPr>
          <w:color w:val="595959"/>
          <w:sz w:val="22"/>
          <w:szCs w:val="22"/>
        </w:rPr>
        <w:t xml:space="preserve">     ·     </w:t>
      </w:r>
      <w:r>
        <w:rPr>
          <w:b/>
          <w:bCs/>
          <w:sz w:val="22"/>
          <w:szCs w:val="22"/>
        </w:rPr>
        <w:t xml:space="preserve">Status: </w:t>
      </w:r>
      <w:r>
        <w:rPr>
          <w:b/>
          <w:bCs/>
          <w:color w:val="2E7D32"/>
          <w:sz w:val="22"/>
          <w:szCs w:val="22"/>
        </w:rPr>
        <w:t xml:space="preserve">Entwurf v0.1</w:t>
      </w:r>
      <w:r>
        <w:rPr>
          <w:color w:val="595959"/>
          <w:sz w:val="22"/>
          <w:szCs w:val="22"/>
        </w:rPr>
        <w:t xml:space="preserve">     ·     </w:t>
      </w:r>
      <w:r>
        <w:rPr>
          <w:b/>
          <w:bCs/>
          <w:sz w:val="22"/>
          <w:szCs w:val="22"/>
        </w:rPr>
        <w:t xml:space="preserve">Stand: </w:t>
      </w:r>
      <w:r>
        <w:rPr>
          <w:sz w:val="22"/>
          <w:szCs w:val="22"/>
        </w:rPr>
        <w:t xml:space="preserve">15.08.2026</w:t>
      </w:r>
    </w:p>
    <w:p>
      <w:pPr>
        <w:spacing w:after="130" w:line="280"/>
      </w:pPr>
      <w:r>
        <w:rPr>
          <w:i/>
          <w:iCs/>
          <w:sz w:val="22"/>
          <w:szCs w:val="22"/>
        </w:rPr>
        <w:t xml:space="preserve">Dieses Dokument ist ein </w:t>
      </w:r>
      <w:r>
        <w:rPr>
          <w:b/>
          <w:bCs/>
          <w:i/>
          <w:iCs/>
          <w:sz w:val="22"/>
          <w:szCs w:val="22"/>
        </w:rPr>
        <w:t xml:space="preserve">erster Orientierungs-Entwurf</w:t>
      </w:r>
      <w:r>
        <w:rPr>
          <w:i/>
          <w:iCs/>
          <w:sz w:val="22"/>
          <w:szCs w:val="22"/>
        </w:rPr>
        <w:t xml:space="preserve">, damit du dich in deinen Teilbereich – das Wissensnetz – einlesen kannst. Es bündelt, wo das Wissensnetz in der Gesamtarchitektur sitzt, welches Datenmodell gewählt wurde, wie ein erstes Ontologie-Schema aussehen könnte und was die nächsten Schritte sind. Es ist bewusst noch kein fertiges Systemdesign.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1  Worum es geht</w:t>
      </w:r>
    </w:p>
    <w:p>
      <w:pPr>
        <w:spacing w:after="130" w:line="280"/>
      </w:pPr>
      <w:r>
        <w:rPr>
          <w:sz w:val="22"/>
          <w:szCs w:val="22"/>
        </w:rPr>
        <w:t xml:space="preserve">DataBridge ist eine Schnittstelle, die Forschungsdaten aus öffentlichen Repositorien (Testfall: TCGA über die GDC-API) automatisiert beschafft, filtert und für die Visualisierungswerkzeuge der Universität Oviedo aufbereitet. Im Team ist die Arbeit geteilt: ein Kollege kümmert sich um die </w:t>
      </w:r>
      <w:r>
        <w:rPr>
          <w:b/>
          <w:bCs/>
          <w:sz w:val="22"/>
          <w:szCs w:val="22"/>
        </w:rPr>
        <w:t xml:space="preserve">API-Zugriffe</w:t>
      </w:r>
      <w:r>
        <w:rPr>
          <w:sz w:val="22"/>
          <w:szCs w:val="22"/>
        </w:rPr>
        <w:t xml:space="preserve"> (GDC-Wrapper, Datenbeschaffung), du übernimmst das </w:t>
      </w:r>
      <w:r>
        <w:rPr>
          <w:b/>
          <w:bCs/>
          <w:sz w:val="22"/>
          <w:szCs w:val="22"/>
        </w:rPr>
        <w:t xml:space="preserve">Wissensnetz</w:t>
      </w:r>
      <w:r>
        <w:rPr>
          <w:sz w:val="22"/>
          <w:szCs w:val="22"/>
        </w:rPr>
        <w:t xml:space="preserve"> – die semantische Schicht, die aus den beschafften Daten ein vernetztes, maschinen­lesbares Bedeutungsmodell macht.</w:t>
      </w:r>
    </w:p>
    <w:p>
      <w:pPr>
        <w:spacing w:after="130" w:line="280"/>
      </w:pPr>
      <w:r>
        <w:rPr>
          <w:sz w:val="22"/>
          <w:szCs w:val="22"/>
        </w:rPr>
        <w:t xml:space="preserve">Dein Teil beginnt dort, wo die Rohdaten und Metadaten vorliegen, und umfasst drei Aufgaben, die sich durch dieses Dokument ziehen: die Daten </w:t>
      </w:r>
      <w:r>
        <w:rPr>
          <w:b/>
          <w:bCs/>
          <w:sz w:val="22"/>
          <w:szCs w:val="22"/>
        </w:rPr>
        <w:t xml:space="preserve">semantisch strukturieren</w:t>
      </w:r>
      <w:r>
        <w:rPr>
          <w:sz w:val="22"/>
          <w:szCs w:val="22"/>
        </w:rPr>
        <w:t xml:space="preserve"> (Semantic ETL), die Visualisierung damit </w:t>
      </w:r>
      <w:r>
        <w:rPr>
          <w:b/>
          <w:bCs/>
          <w:sz w:val="22"/>
          <w:szCs w:val="22"/>
        </w:rPr>
        <w:t xml:space="preserve">anreichern</w:t>
      </w:r>
      <w:r>
        <w:rPr>
          <w:sz w:val="22"/>
          <w:szCs w:val="22"/>
        </w:rPr>
        <w:t xml:space="preserve">, und das bei der Analyse entstehende Experten­wissen wieder </w:t>
      </w:r>
      <w:r>
        <w:rPr>
          <w:b/>
          <w:bCs/>
          <w:sz w:val="22"/>
          <w:szCs w:val="22"/>
        </w:rPr>
        <w:t xml:space="preserve">zurückschreiben</w:t>
      </w:r>
      <w:r>
        <w:rPr>
          <w:sz w:val="22"/>
          <w:szCs w:val="22"/>
        </w:rPr>
        <w:t xml:space="preserve"> (Knowledge Transfer).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2  Systemarchitektur im Überblick</w:t>
      </w:r>
    </w:p>
    <w:p>
      <w:pPr>
        <w:spacing w:after="130" w:line="280"/>
      </w:pPr>
      <w:r>
        <w:rPr>
          <w:sz w:val="22"/>
          <w:szCs w:val="22"/>
        </w:rPr>
        <w:t xml:space="preserve">Die folgende Grafik zeigt den geschlossenen Kreislauf. Wichtig ist die Zweiteilung des Datenflusses: die großen numerischen Messmatrizen laufen über das anndata-Format direkt zu den Visualisierungstools; Bedeutung, Kontext und Beziehungen laufen über dein Wissensnetz.</w:t>
      </w:r>
    </w:p>
    <w:p>
      <w:pPr>
        <w:spacing w:after="40" w:before="60"/>
        <w:jc w:val="center"/>
      </w:pPr>
      <w:r>
        <w:drawing>
          <wp:inline distT="0" distB="0" distL="0" distR="0">
            <wp:extent cx="60960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8"/>
          <w:szCs w:val="18"/>
        </w:rPr>
        <w:t xml:space="preserve">Abb. 1: DataBridge als Bindeglied zwischen GDC/TCGA und den AVIB-Tools. Messmatrizen (anndata) und Semantik (Wissensnetz) sind komplementäre Pfade; der gestrichelte Rückkanal speist Experteninteraktionen zurück.</w:t>
      </w:r>
    </w:p>
    <w:p>
      <w:pPr>
        <w:spacing w:after="130" w:line="280"/>
      </w:pPr>
      <w:r>
        <w:rPr>
          <w:sz w:val="22"/>
          <w:szCs w:val="22"/>
        </w:rPr>
        <w:t xml:space="preserve">Drei Bausteine bilden deinen Verantwortungsbereich: der </w:t>
      </w:r>
      <w:r>
        <w:rPr>
          <w:b/>
          <w:bCs/>
          <w:sz w:val="22"/>
          <w:szCs w:val="22"/>
        </w:rPr>
        <w:t xml:space="preserve">Semantic-ETL-Baustein</w:t>
      </w:r>
      <w:r>
        <w:rPr>
          <w:sz w:val="22"/>
          <w:szCs w:val="22"/>
        </w:rPr>
        <w:t xml:space="preserve"> wandelt die flachen GDC-Schemas in RDF/OWL um, das </w:t>
      </w:r>
      <w:r>
        <w:rPr>
          <w:b/>
          <w:bCs/>
          <w:sz w:val="22"/>
          <w:szCs w:val="22"/>
        </w:rPr>
        <w:t xml:space="preserve">Wissensnetz</w:t>
      </w:r>
      <w:r>
        <w:rPr>
          <w:sz w:val="22"/>
          <w:szCs w:val="22"/>
        </w:rPr>
        <w:t xml:space="preserve"> speichert und verknüpft dieses Wissen, und die </w:t>
      </w:r>
      <w:r>
        <w:rPr>
          <w:b/>
          <w:bCs/>
          <w:sz w:val="22"/>
          <w:szCs w:val="22"/>
        </w:rPr>
        <w:t xml:space="preserve">Anreicherungs-/Rückkanal-Logik</w:t>
      </w:r>
      <w:r>
        <w:rPr>
          <w:sz w:val="22"/>
          <w:szCs w:val="22"/>
        </w:rPr>
        <w:t xml:space="preserve"> verbindet den Graphen mit den Tools in beide Richtungen.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3  Datenmodell: warum RDF/OWL</w:t>
      </w:r>
    </w:p>
    <w:p>
      <w:pPr>
        <w:spacing w:after="130" w:line="280"/>
      </w:pPr>
      <w:r>
        <w:rPr>
          <w:sz w:val="22"/>
          <w:szCs w:val="22"/>
        </w:rPr>
        <w:t xml:space="preserve">Die Grundsatzentscheidung ist bereits getroffen und in </w:t>
      </w:r>
      <w:r>
        <w:rPr>
          <w:b/>
          <w:bCs/>
          <w:sz w:val="22"/>
          <w:szCs w:val="22"/>
        </w:rPr>
        <w:t xml:space="preserve">ADR-0002</w:t>
      </w:r>
      <w:r>
        <w:rPr>
          <w:sz w:val="22"/>
          <w:szCs w:val="22"/>
        </w:rPr>
        <w:t xml:space="preserve"> dokumentiert: Das Wissensnetz wird als </w:t>
      </w:r>
      <w:r>
        <w:rPr>
          <w:b/>
          <w:bCs/>
          <w:sz w:val="22"/>
          <w:szCs w:val="22"/>
        </w:rPr>
        <w:t xml:space="preserve">RDF-Triple-Store mit OWL</w:t>
      </w:r>
      <w:r>
        <w:rPr>
          <w:sz w:val="22"/>
          <w:szCs w:val="22"/>
        </w:rPr>
        <w:t xml:space="preserve"> (Apache Jena Fuseki / TDB2) umgesetzt, Kanten-Metadaten über RDF-star. Kurz die vier Gründe, die für deinen Teil am wichtigsten sind: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Bio-Ontologien sind bereits OWL/OBO. </w:t>
      </w:r>
      <w:r>
        <w:rPr>
          <w:sz w:val="22"/>
          <w:szCs w:val="22"/>
        </w:rPr>
        <w:t xml:space="preserve">Gene Ontology, NCI Thesaurus, Disease Ontology &amp; Co. lassen sich direkt importieren und verknüpfen, statt sie zu konvertieren.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Ontologie-Evolution ist werkzeuggestützt. </w:t>
      </w:r>
      <w:r>
        <w:rPr>
          <w:sz w:val="22"/>
          <w:szCs w:val="22"/>
        </w:rPr>
        <w:t xml:space="preserve">Versionierung und Alignment – dein Flexibilitätsziel – sind im RDF/OWL-Umfeld etabliert (Protégé, OWL API).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Formale Semantik / Reasoning. </w:t>
      </w:r>
      <w:r>
        <w:rPr>
          <w:sz w:val="22"/>
          <w:szCs w:val="22"/>
        </w:rPr>
        <w:t xml:space="preserve">Ermöglicht das Ableiten impliziter Beziehungen für die semantische Anreicherung.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TBox/ABox-Trennung passt zum Rückkanal. </w:t>
      </w:r>
      <w:r>
        <w:rPr>
          <w:sz w:val="22"/>
          <w:szCs w:val="22"/>
        </w:rPr>
        <w:t xml:space="preserve">Neues Experten­wissen wird sauber als Fakt (ABox) in den Graphen geschrieben, ohne das Schema (TBox) zu verletzen.</w:t>
      </w:r>
    </w:p>
    <w:p>
      <w:pPr>
        <w:spacing w:after="130" w:line="280"/>
      </w:pPr>
      <w:r>
        <w:rPr>
          <w:sz w:val="22"/>
          <w:szCs w:val="22"/>
        </w:rPr>
        <w:t xml:space="preserve">Die schwere Analytics-Last (Millionen Expressionswerte) liegt bewusst </w:t>
      </w:r>
      <w:r>
        <w:rPr>
          <w:i/>
          <w:iCs/>
          <w:sz w:val="22"/>
          <w:szCs w:val="22"/>
        </w:rPr>
        <w:t xml:space="preserve">nicht</w:t>
      </w:r>
      <w:r>
        <w:rPr>
          <w:sz w:val="22"/>
          <w:szCs w:val="22"/>
        </w:rPr>
        <w:t xml:space="preserve"> im Graphen, sondern im anndata-Export – dadurch entfällt der klassische Performance-Vorteil der Property-Graphen. Details und die verworfenen Alternativen stehen in ADR-0002.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4  Erstes Ontologie-Schema</w:t>
      </w:r>
    </w:p>
    <w:p>
      <w:pPr>
        <w:spacing w:after="130" w:line="280"/>
      </w:pPr>
      <w:r>
        <w:rPr>
          <w:sz w:val="22"/>
          <w:szCs w:val="22"/>
        </w:rPr>
        <w:t xml:space="preserve">Ein erster Entwurf der Kern-Entitäten und ihrer Beziehungen. Das ist ausdrücklich eine Diskussionsgrundlage, keine finale Ontologie – die Entitäten orientieren sich an dem, was die Oviedo-Tools tatsächlich brauchen (Genexpression, Methylierung, miRNA) und an den klinischen TCGA-Daten.</w:t>
      </w:r>
    </w:p>
    <w:p>
      <w:pPr>
        <w:spacing w:after="40" w:before="60"/>
        <w:jc w:val="center"/>
      </w:pPr>
      <w:r>
        <w:drawing>
          <wp:inline distT="0" distB="0" distL="0" distR="0">
            <wp:extent cx="4381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8"/>
          <w:szCs w:val="18"/>
        </w:rPr>
        <w:t xml:space="preserve">Abb. 2: Kern-Entitäten des Wissensnetzes und ihre Relationen. Farbige Hinweise nennen die jeweils passende externe Ontologie. Gestrichelte, aus Literatur/Analyse abgeleitete Kanten tragen Provenienz und Konfidenz via RDF-star.</w:t>
      </w:r>
    </w:p>
    <w:p>
      <w:pPr>
        <w:spacing w:after="130" w:line="280"/>
      </w:pPr>
      <w:r>
        <w:rPr>
          <w:sz w:val="22"/>
          <w:szCs w:val="22"/>
        </w:rPr>
        <w:t xml:space="preserve">Die Trennung zwischen dem Messwert („Expression“) und dem Konzept („Gen“) ist Absicht: Der numerische Wert lebt in der anndata-Matrix, im Graphen steht die </w:t>
      </w:r>
      <w:r>
        <w:rPr>
          <w:i/>
          <w:iCs/>
          <w:sz w:val="22"/>
          <w:szCs w:val="22"/>
        </w:rPr>
        <w:t xml:space="preserve">Bedeutung</w:t>
      </w:r>
      <w:r>
        <w:rPr>
          <w:sz w:val="22"/>
          <w:szCs w:val="22"/>
        </w:rPr>
        <w:t xml:space="preserve"> – welches Gen, welche Probe, welcher Patient, welche Krebsart. So bleiben Graph und Matrix komplementär und du vermeidest, Millionen Messwerte als Tripel abzulegen.</w:t>
      </w:r>
    </w:p>
    <w:p>
      <w:pPr>
        <w:pStyle w:val="Heading2"/>
        <w:spacing w:after="90" w:before="220"/>
      </w:pPr>
      <w:r>
        <w:rPr>
          <w:b/>
          <w:bCs/>
          <w:color w:val="2E74B5"/>
          <w:sz w:val="24"/>
          <w:szCs w:val="24"/>
        </w:rPr>
        <w:t xml:space="preserve">4.1  Wiederverwendung bestehender Bio-Ontologien</w:t>
      </w:r>
    </w:p>
    <w:p>
      <w:pPr>
        <w:spacing w:after="130" w:line="280"/>
      </w:pPr>
      <w:r>
        <w:rPr>
          <w:sz w:val="22"/>
          <w:szCs w:val="22"/>
        </w:rPr>
        <w:t xml:space="preserve">Statt Begriffe selbst zu definieren, bindest du etablierte Ontologien ein – das ist zugleich FAIR-konform (Interoperabilität) und spart enorm Arbeit: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Ontologie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Abdeckung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Einsatz im Wissensnetz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 Ontology (GO)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Genfunktion, Prozesse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Annotation von Genen</w:t>
            </w:r>
          </w:p>
        </w:tc>
      </w:tr>
      <w:tr>
        <w:tc>
          <w:tcPr>
            <w:tcW w:type="dxa" w:w="2600"/>
            <w:shd w:fill="EE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Sequence Ontology (SO)</w:t>
            </w:r>
          </w:p>
        </w:tc>
        <w:tc>
          <w:tcPr>
            <w:tcW w:type="dxa" w:w="3200"/>
            <w:shd w:fill="EE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Sequenz-/Varianten-Typen</w:t>
            </w:r>
          </w:p>
        </w:tc>
        <w:tc>
          <w:tcPr>
            <w:tcW w:type="dxa" w:w="3400"/>
            <w:shd w:fill="EE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Mutationen, CNVs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NCI Thesaurus (NCIt)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Onkologie-Terminologie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Krebsarten, klin. Konzepte</w:t>
            </w:r>
          </w:p>
        </w:tc>
      </w:tr>
      <w:tr>
        <w:tc>
          <w:tcPr>
            <w:tcW w:type="dxa" w:w="2600"/>
            <w:shd w:fill="EE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Disease Ontology (DO)</w:t>
            </w:r>
          </w:p>
        </w:tc>
        <w:tc>
          <w:tcPr>
            <w:tcW w:type="dxa" w:w="3200"/>
            <w:shd w:fill="EE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Krankheiten</w:t>
            </w:r>
          </w:p>
        </w:tc>
        <w:tc>
          <w:tcPr>
            <w:tcW w:type="dxa" w:w="3400"/>
            <w:shd w:fill="EE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Diagnose / Krebsart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Ensembl / UniProt / miRBase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Gen-, Protein-, miRNA-IDs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stabile Identifikatoren</w:t>
            </w:r>
          </w:p>
        </w:tc>
      </w:tr>
    </w:tbl>
    <w:p>
      <w:pPr>
        <w:spacing w:after="130" w:line="280"/>
      </w:pPr>
      <w:r>
        <w:rPr>
          <w:sz w:val="22"/>
          <w:szCs w:val="22"/>
        </w:rPr>
        <w:t xml:space="preserve">Zum Nachschlagen und Einbinden gibt es fertige Dienste: der </w:t>
      </w:r>
      <w:r>
        <w:rPr>
          <w:b/>
          <w:bCs/>
          <w:sz w:val="22"/>
          <w:szCs w:val="22"/>
        </w:rPr>
        <w:t xml:space="preserve">EBI Ontology Lookup Service (OLS)</w:t>
      </w:r>
      <w:r>
        <w:rPr>
          <w:sz w:val="22"/>
          <w:szCs w:val="22"/>
        </w:rPr>
        <w:t xml:space="preserve"> und </w:t>
      </w:r>
      <w:r>
        <w:rPr>
          <w:b/>
          <w:bCs/>
          <w:sz w:val="22"/>
          <w:szCs w:val="22"/>
        </w:rPr>
        <w:t xml:space="preserve">BioPortal</w:t>
      </w:r>
      <w:r>
        <w:rPr>
          <w:sz w:val="22"/>
          <w:szCs w:val="22"/>
        </w:rPr>
        <w:t xml:space="preserve"> bieten Suche und Programmier­schnittstellen zu diesen Ontologien.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5  Deine drei Funktionsbausteine</w:t>
      </w:r>
    </w:p>
    <w:p>
      <w:pPr>
        <w:pStyle w:val="Heading2"/>
        <w:spacing w:after="90" w:before="220"/>
      </w:pPr>
      <w:r>
        <w:rPr>
          <w:b/>
          <w:bCs/>
          <w:color w:val="2E74B5"/>
          <w:sz w:val="24"/>
          <w:szCs w:val="24"/>
        </w:rPr>
        <w:t xml:space="preserve">5.1  Semantic ETL (GDC-Schema → RDF/OWL)</w:t>
      </w:r>
    </w:p>
    <w:p>
      <w:pPr>
        <w:spacing w:after="130" w:line="280"/>
      </w:pPr>
      <w:r>
        <w:rPr>
          <w:sz w:val="22"/>
          <w:szCs w:val="22"/>
        </w:rPr>
        <w:t xml:space="preserve">Die GDC beschreibt ihre Metadaten nicht in OWL, sondern als flache </w:t>
      </w:r>
      <w:r>
        <w:rPr>
          <w:b/>
          <w:bCs/>
          <w:sz w:val="22"/>
          <w:szCs w:val="22"/>
        </w:rPr>
        <w:t xml:space="preserve">YAML/JSON-Schema-Dictionaries</w:t>
      </w:r>
      <w:r>
        <w:rPr>
          <w:sz w:val="22"/>
          <w:szCs w:val="22"/>
        </w:rPr>
        <w:t xml:space="preserve">. Dein ETL-Schritt extrahiert diese, bereinigt Inkonsistenzen und bildet sie über ein Mapping-Schema auf deine Ontologie (Klassen, Relationen) ab. Ergebnis: aus flachen Feldern werden vernetzte Tripel.</w:t>
      </w:r>
    </w:p>
    <w:p>
      <w:pPr>
        <w:pStyle w:val="Heading2"/>
        <w:spacing w:after="90" w:before="220"/>
      </w:pPr>
      <w:r>
        <w:rPr>
          <w:b/>
          <w:bCs/>
          <w:color w:val="2E74B5"/>
          <w:sz w:val="24"/>
          <w:szCs w:val="24"/>
        </w:rPr>
        <w:t xml:space="preserve">5.2  Semantische Anreicherung der Visualisierung</w:t>
      </w:r>
    </w:p>
    <w:p>
      <w:pPr>
        <w:spacing w:after="130" w:line="280"/>
      </w:pPr>
      <w:r>
        <w:rPr>
          <w:sz w:val="22"/>
          <w:szCs w:val="22"/>
        </w:rPr>
        <w:t xml:space="preserve">Die AVIB-Tools (MP-Cancer, GEM-i, dual iDR) zeigen bisher „nackte“ Datenpunkte. Über SPARQL-Abfragen an dein Wissensnetz erhält der Forscher zu einem Punkt/Gen den </w:t>
      </w:r>
      <w:r>
        <w:rPr>
          <w:b/>
          <w:bCs/>
          <w:sz w:val="22"/>
          <w:szCs w:val="22"/>
        </w:rPr>
        <w:t xml:space="preserve">Kontext</w:t>
      </w:r>
      <w:r>
        <w:rPr>
          <w:sz w:val="22"/>
          <w:szCs w:val="22"/>
        </w:rPr>
        <w:t xml:space="preserve"> – Beziehungen zu Proteinen, miRNAs, Krankheitsklassen – und kann so </w:t>
      </w:r>
      <w:r>
        <w:rPr>
          <w:i/>
          <w:iCs/>
          <w:sz w:val="22"/>
          <w:szCs w:val="22"/>
        </w:rPr>
        <w:t xml:space="preserve">semantisch navigieren</w:t>
      </w:r>
      <w:r>
        <w:rPr>
          <w:sz w:val="22"/>
          <w:szCs w:val="22"/>
        </w:rPr>
        <w:t xml:space="preserve">, statt nur Cluster anzustarren.</w:t>
      </w:r>
    </w:p>
    <w:p>
      <w:pPr>
        <w:pStyle w:val="Heading2"/>
        <w:spacing w:after="90" w:before="220"/>
      </w:pPr>
      <w:r>
        <w:rPr>
          <w:b/>
          <w:bCs/>
          <w:color w:val="2E74B5"/>
          <w:sz w:val="24"/>
          <w:szCs w:val="24"/>
        </w:rPr>
        <w:t xml:space="preserve">5.3  Expert Knowledge Transfer (Rückkanal)</w:t>
      </w:r>
    </w:p>
    <w:p>
      <w:pPr>
        <w:spacing w:after="130" w:line="280"/>
      </w:pPr>
      <w:r>
        <w:rPr>
          <w:sz w:val="22"/>
          <w:szCs w:val="22"/>
        </w:rPr>
        <w:t xml:space="preserve">Der forschungsnahe, ambitionierte Teil: Markiert ein Arzt in GEM-i z. B. eine Gengruppe als „hoch­korreliert bei Tumortyp X“, soll diese Interaktion nicht verloren gehen. Sie wird in Tripel übersetzt (via </w:t>
      </w:r>
      <w:r>
        <w:rPr>
          <w:b/>
          <w:bCs/>
          <w:sz w:val="22"/>
          <w:szCs w:val="22"/>
        </w:rPr>
        <w:t xml:space="preserve">SPARQL Update</w:t>
      </w:r>
      <w:r>
        <w:rPr>
          <w:sz w:val="22"/>
          <w:szCs w:val="22"/>
        </w:rPr>
        <w:t xml:space="preserve">, konzeptionell angelehnt an Stadlers </w:t>
      </w:r>
      <w:r>
        <w:rPr>
          <w:b/>
          <w:bCs/>
          <w:sz w:val="22"/>
          <w:szCs w:val="22"/>
        </w:rPr>
        <w:t xml:space="preserve">SNQL</w:t>
      </w:r>
      <w:r>
        <w:rPr>
          <w:sz w:val="22"/>
          <w:szCs w:val="22"/>
        </w:rPr>
        <w:t xml:space="preserve">) und als neues Faktum in die ABox zurückgeschrieben – das Netz lernt aus der Analyse.</w:t>
      </w:r>
    </w:p>
    <w:p>
      <w:pPr>
        <w:pBdr>
          <w:left w:val="single" w:color="C0504D" w:sz="18" w:space="10"/>
        </w:pBdr>
        <w:spacing w:after="120" w:before="40"/>
      </w:pPr>
      <w:r>
        <w:rPr>
          <w:b/>
          <w:bCs/>
          <w:color w:val="C0504D"/>
          <w:sz w:val="22"/>
          <w:szCs w:val="22"/>
        </w:rPr>
        <w:t xml:space="preserve">Scope-Hinweis: </w:t>
      </w:r>
      <w:r>
        <w:rPr>
          <w:sz w:val="21"/>
          <w:szCs w:val="21"/>
        </w:rPr>
        <w:t xml:space="preserve">Die AVIB-Tools haben aktuell weder eine semantische Schicht noch einen Feedback-Mechanismus – das ist der neue Beitrag von DataBridge. Für ein Semester ist Baustein 5.3 realistisch eher prototypisch/konzeptionell zu zeigen; Pflicht­kern sind 5.1 und 5.2. Früh mit Team und Oviedo klären.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6  Technologie-Stack &amp; Werkzeuge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40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Ebene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Werkzeug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rdflib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Python-Bibliothek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ETL, RDF erzeugen/serialisieren (passt zum FastAPI-Mediator)</w:t>
            </w:r>
          </w:p>
        </w:tc>
      </w:tr>
      <w:tr>
        <w:tc>
          <w:tcPr>
            <w:tcW w:type="dxa" w:w="2900"/>
            <w:shd w:fill="EE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Apache Jena / Fuseki</w:t>
            </w:r>
          </w:p>
        </w:tc>
        <w:tc>
          <w:tcPr>
            <w:tcW w:type="dxa" w:w="3200"/>
            <w:shd w:fill="EE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Triple-Store + SPARQL-Endpoint</w:t>
            </w:r>
          </w:p>
        </w:tc>
        <w:tc>
          <w:tcPr>
            <w:tcW w:type="dxa" w:w="3400"/>
            <w:shd w:fill="EE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Speicherung, Abfrage (TDB2), RDF-star</w:t>
            </w:r>
          </w:p>
        </w:tc>
      </w:tr>
      <w:tr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Protégé + OWL API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Ontologie-Editor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Schema entwerfen, pflegen, versionieren</w:t>
            </w:r>
          </w:p>
        </w:tc>
      </w:tr>
      <w:tr>
        <w:tc>
          <w:tcPr>
            <w:tcW w:type="dxa" w:w="2900"/>
            <w:shd w:fill="EE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SPARQL / SPARQL Update</w:t>
            </w:r>
          </w:p>
        </w:tc>
        <w:tc>
          <w:tcPr>
            <w:tcW w:type="dxa" w:w="3200"/>
            <w:shd w:fill="EE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Abfrage-/Schreibsprache</w:t>
            </w:r>
          </w:p>
        </w:tc>
        <w:tc>
          <w:tcPr>
            <w:tcW w:type="dxa" w:w="3400"/>
            <w:shd w:fill="EE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Anreicherung (Abfrage) + Rückkanal (Schreiben)</w:t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7  Offene Fragen &amp; nächste Schritte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Ontologie-Schema verfeinern: </w:t>
      </w:r>
      <w:r>
        <w:rPr>
          <w:sz w:val="22"/>
          <w:szCs w:val="22"/>
        </w:rPr>
        <w:t xml:space="preserve">Welche Entitäten/Relationen wirklich nötig – abgeglichen mit den GDC-Feldern und den Tool-Anforderungen.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Übergabeformat mit dem API-Kollegen festlegen: </w:t>
      </w:r>
      <w:r>
        <w:rPr>
          <w:sz w:val="22"/>
          <w:szCs w:val="22"/>
        </w:rPr>
        <w:t xml:space="preserve">In welcher Form kommen die GDC-Daten/-Schemas bei dir an (die Naht zum ETL)?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Mapping-Konzept GDC-YAML/JSON → RDF/OWL </w:t>
      </w:r>
      <w:r>
        <w:rPr>
          <w:sz w:val="22"/>
          <w:szCs w:val="22"/>
        </w:rPr>
        <w:t xml:space="preserve">skizzieren (Global-as-View vs. Local-as-View).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Rückkanal-Umfang entscheiden: </w:t>
      </w:r>
      <w:r>
        <w:rPr>
          <w:sz w:val="22"/>
          <w:szCs w:val="22"/>
        </w:rPr>
        <w:t xml:space="preserve">prototypisch demonstrieren oder voll integrieren – abhängig von Oviedos Bereitschaft, die Tools anzupassen.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Kleines Proof-of-Concept: </w:t>
      </w:r>
      <w:r>
        <w:rPr>
          <w:sz w:val="22"/>
          <w:szCs w:val="22"/>
        </w:rPr>
        <w:t xml:space="preserve">Fuseki starten, eine Handvoll TCGA-Beispieltripel laden, eine SPARQL-Abfrage stellen.</w:t>
      </w:r>
    </w:p>
    <w:p>
      <w:pPr>
        <w:pStyle w:val="Heading1"/>
        <w:spacing w:after="130" w:before="300"/>
      </w:pPr>
      <w:r>
        <w:rPr>
          <w:b/>
          <w:bCs/>
          <w:color w:val="1F3864"/>
          <w:sz w:val="30"/>
          <w:szCs w:val="30"/>
        </w:rPr>
        <w:t xml:space="preserve">8  Zum Einlesen: Ressourcen</w:t>
      </w:r>
    </w:p>
    <w:p>
      <w:pPr>
        <w:pStyle w:val="Heading2"/>
        <w:spacing w:after="90" w:before="220"/>
      </w:pPr>
      <w:r>
        <w:rPr>
          <w:b/>
          <w:bCs/>
          <w:color w:val="2E74B5"/>
          <w:sz w:val="24"/>
          <w:szCs w:val="24"/>
        </w:rPr>
        <w:t xml:space="preserve">Grundlagen Semantic Web / Ontologien</w:t>
      </w:r>
    </w:p>
    <w:p>
      <w:pPr>
        <w:pStyle w:val="ListParagraph"/>
        <w:numPr>
          <w:ilvl w:val="0"/>
          <w:numId w:val="1"/>
        </w:numPr>
        <w:spacing w:after="70"/>
      </w:pPr>
      <w:hyperlink w:history="1" r:id="rIdd50jy2y4cydpzii4qpxwx">
        <w:r>
          <w:rPr>
            <w:color w:val="2E74B5"/>
            <w:sz w:val="22"/>
            <w:szCs w:val="22"/>
            <w:u w:val="single"/>
          </w:rPr>
          <w:t xml:space="preserve">W3C – RDF 1.2 / SPARQL 1.2 (RDF-star)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0kv_nqcxhqxzkviwosl_f">
        <w:r>
          <w:rPr>
            <w:color w:val="2E74B5"/>
            <w:sz w:val="22"/>
            <w:szCs w:val="22"/>
            <w:u w:val="single"/>
          </w:rPr>
          <w:t xml:space="preserve">OBO Foundry – Dachprojekt biomedizinischer Ontologien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hjrjvjr_ot2yxlznjrces">
        <w:r>
          <w:rPr>
            <w:color w:val="2E74B5"/>
            <w:sz w:val="22"/>
            <w:szCs w:val="22"/>
            <w:u w:val="single"/>
          </w:rPr>
          <w:t xml:space="preserve">Apache Jena – Dokumentation (TDB2, Fuseki, RDF-star)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zfu5xrtiwb3v8gvbgtgva">
        <w:r>
          <w:rPr>
            <w:color w:val="2E74B5"/>
            <w:sz w:val="22"/>
            <w:szCs w:val="22"/>
            <w:u w:val="single"/>
          </w:rPr>
          <w:t xml:space="preserve">Protégé – Ontologie-Editor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1aqpwlqtf2pgf9x_bxe58">
        <w:r>
          <w:rPr>
            <w:color w:val="2E74B5"/>
            <w:sz w:val="22"/>
            <w:szCs w:val="22"/>
            <w:u w:val="single"/>
          </w:rPr>
          <w:t xml:space="preserve">EBI Ontology Lookup Service (OLS)</w:t>
        </w:r>
      </w:hyperlink>
    </w:p>
    <w:p>
      <w:pPr>
        <w:pStyle w:val="Heading2"/>
        <w:spacing w:after="90" w:before="220"/>
      </w:pPr>
      <w:r>
        <w:rPr>
          <w:b/>
          <w:bCs/>
          <w:color w:val="2E74B5"/>
          <w:sz w:val="24"/>
          <w:szCs w:val="24"/>
        </w:rPr>
        <w:t xml:space="preserve">Daten &amp; Formate</w:t>
      </w:r>
    </w:p>
    <w:p>
      <w:pPr>
        <w:pStyle w:val="ListParagraph"/>
        <w:numPr>
          <w:ilvl w:val="0"/>
          <w:numId w:val="1"/>
        </w:numPr>
        <w:spacing w:after="70"/>
      </w:pPr>
      <w:hyperlink w:history="1" r:id="rIdqup8guhnip13k1mf2ktgu">
        <w:r>
          <w:rPr>
            <w:color w:val="2E74B5"/>
            <w:sz w:val="22"/>
            <w:szCs w:val="22"/>
            <w:u w:val="single"/>
          </w:rPr>
          <w:t xml:space="preserve">GDC API – Dokumentation (TCGA-Zugriff)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3r1vgjjpcviuahqrq64r3">
        <w:r>
          <w:rPr>
            <w:color w:val="2E74B5"/>
            <w:sz w:val="22"/>
            <w:szCs w:val="22"/>
            <w:u w:val="single"/>
          </w:rPr>
          <w:t xml:space="preserve">anndata – Dokumentation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icji7zg-jmmg4m_omhqpn">
        <w:r>
          <w:rPr>
            <w:color w:val="2E74B5"/>
            <w:sz w:val="22"/>
            <w:szCs w:val="22"/>
            <w:u w:val="single"/>
          </w:rPr>
          <w:t xml:space="preserve">Scanpy – Analyse-Toolkit</w:t>
        </w:r>
      </w:hyperlink>
    </w:p>
    <w:p>
      <w:pPr>
        <w:pStyle w:val="Heading2"/>
        <w:spacing w:after="90" w:before="220"/>
      </w:pPr>
      <w:r>
        <w:rPr>
          <w:b/>
          <w:bCs/>
          <w:color w:val="2E74B5"/>
          <w:sz w:val="24"/>
          <w:szCs w:val="24"/>
        </w:rPr>
        <w:t xml:space="preserve">Projekt-Referenzen (Oviedo AVIB)</w:t>
      </w:r>
    </w:p>
    <w:p>
      <w:pPr>
        <w:pStyle w:val="ListParagraph"/>
        <w:numPr>
          <w:ilvl w:val="0"/>
          <w:numId w:val="1"/>
        </w:numPr>
        <w:spacing w:after="70"/>
      </w:pPr>
      <w:hyperlink w:history="1" r:id="rIdqyvxnmgniavqelim_wsct">
        <w:r>
          <w:rPr>
            <w:color w:val="2E74B5"/>
            <w:sz w:val="22"/>
            <w:szCs w:val="22"/>
            <w:u w:val="single"/>
          </w:rPr>
          <w:t xml:space="preserve">Díaz et al. 2023 – GEM-i (IEEE J. Biomedical &amp; Health Informatics)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gvmckphchwgzhbzgoay5s">
        <w:r>
          <w:rPr>
            <w:color w:val="2E74B5"/>
            <w:sz w:val="22"/>
            <w:szCs w:val="22"/>
            <w:u w:val="single"/>
          </w:rPr>
          <w:t xml:space="preserve">Morphing Projections für Krebsgenomik (Bioinformatics 2021)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k4wvbtl-nsxlzkkzvwzbc">
        <w:r>
          <w:rPr>
            <w:color w:val="2E74B5"/>
            <w:sz w:val="22"/>
            <w:szCs w:val="22"/>
            <w:u w:val="single"/>
          </w:rPr>
          <w:t xml:space="preserve">AVIB-Projektseite (GSDPI, Uni Oviedo)</w:t>
        </w:r>
      </w:hyperlink>
    </w:p>
    <w:p>
      <w:pPr>
        <w:pStyle w:val="Heading2"/>
        <w:spacing w:after="90" w:before="220"/>
      </w:pPr>
      <w:r>
        <w:rPr>
          <w:b/>
          <w:bCs/>
          <w:color w:val="2E74B5"/>
          <w:sz w:val="24"/>
          <w:szCs w:val="24"/>
        </w:rPr>
        <w:t xml:space="preserve">Projekt-intern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docs/adr/0002-graph-db-wahl-offen.md</w:t>
      </w:r>
      <w:r>
        <w:rPr>
          <w:sz w:val="20"/>
          <w:szCs w:val="20"/>
        </w:rPr>
        <w:t xml:space="preserve">  – Graph-Modell-Entscheidung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recherche/DataBridge_Literaturrecherche.md</w:t>
      </w:r>
      <w:r>
        <w:rPr>
          <w:sz w:val="20"/>
          <w:szCs w:val="20"/>
        </w:rPr>
        <w:t xml:space="preserve">  – Ontologien, RDF vs. Property Graph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50jy2y4cydpzii4qpxwx" Type="http://schemas.openxmlformats.org/officeDocument/2006/relationships/hyperlink" Target="https://www.w3.org/TR/sparql12-query/" TargetMode="External"/><Relationship Id="rId0kv_nqcxhqxzkviwosl_f" Type="http://schemas.openxmlformats.org/officeDocument/2006/relationships/hyperlink" Target="https://obofoundry.org" TargetMode="External"/><Relationship Id="rIdhjrjvjr_ot2yxlznjrces" Type="http://schemas.openxmlformats.org/officeDocument/2006/relationships/hyperlink" Target="https://jena.apache.org/documentation/" TargetMode="External"/><Relationship Id="rIdzfu5xrtiwb3v8gvbgtgva" Type="http://schemas.openxmlformats.org/officeDocument/2006/relationships/hyperlink" Target="https://protege.stanford.edu" TargetMode="External"/><Relationship Id="rId1aqpwlqtf2pgf9x_bxe58" Type="http://schemas.openxmlformats.org/officeDocument/2006/relationships/hyperlink" Target="https://www.ebi.ac.uk/ols4" TargetMode="External"/><Relationship Id="rIdqup8guhnip13k1mf2ktgu" Type="http://schemas.openxmlformats.org/officeDocument/2006/relationships/hyperlink" Target="https://docs.gdc.cancer.gov/API/Users_Guide/Getting_Started/" TargetMode="External"/><Relationship Id="rId3r1vgjjpcviuahqrq64r3" Type="http://schemas.openxmlformats.org/officeDocument/2006/relationships/hyperlink" Target="https://anndata.readthedocs.io" TargetMode="External"/><Relationship Id="rIdicji7zg-jmmg4m_omhqpn" Type="http://schemas.openxmlformats.org/officeDocument/2006/relationships/hyperlink" Target="https://scanpy.readthedocs.io" TargetMode="External"/><Relationship Id="rIdqyvxnmgniavqelim_wsct" Type="http://schemas.openxmlformats.org/officeDocument/2006/relationships/hyperlink" Target="https://doi.org/10.1109/JBHI.2023.3264029" TargetMode="External"/><Relationship Id="rIdgvmckphchwgzhbzgoay5s" Type="http://schemas.openxmlformats.org/officeDocument/2006/relationships/hyperlink" Target="https://doi.org/10.1093/BIOINFORMATICS/BTAA989" TargetMode="External"/><Relationship Id="rIdk4wvbtl-nsxlzkkzvwzbc" Type="http://schemas.openxmlformats.org/officeDocument/2006/relationships/hyperlink" Target="https://gsdpi.edv.uniovi.es/webpage/pid2020.html" TargetMode="External"/><Relationship Id="rId7" Type="http://schemas.openxmlformats.org/officeDocument/2006/relationships/image" Target="media/7aff16d44cc63fa3886f4c2ba36213b1ac853664.png"/><Relationship Id="rId8" Type="http://schemas.openxmlformats.org/officeDocument/2006/relationships/image" Target="media/6b8aef289a4f4fbba50b389ee92fe4dffd4b5d79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Wissensnetz – Konzept-Entwurf</dc:title>
  <dc:creator>DataBridge / Marcel Thiel</dc:creator>
  <cp:lastModifiedBy>Un-named</cp:lastModifiedBy>
  <cp:revision>1</cp:revision>
  <dcterms:created xsi:type="dcterms:W3CDTF">2026-08-15T17:38:58.530Z</dcterms:created>
  <dcterms:modified xsi:type="dcterms:W3CDTF">2026-08-15T17:38:58.537Z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