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595959"/>
          <w:sz w:val="20"/>
          <w:szCs w:val="20"/>
        </w:rPr>
        <w:t xml:space="preserve">GESAMTÜBERBLICK · FÜR DAS TEAM</w:t>
      </w:r>
    </w:p>
    <w:p>
      <w:pPr>
        <w:spacing w:after="60"/>
      </w:pPr>
      <w:r>
        <w:rPr>
          <w:b/>
          <w:bCs/>
          <w:color w:val="1F3864"/>
          <w:sz w:val="44"/>
          <w:szCs w:val="44"/>
        </w:rPr>
        <w:t xml:space="preserve">Das Wissensnetz in DataBridge</w:t>
      </w:r>
    </w:p>
    <w:p>
      <w:pPr>
        <w:spacing w:after="60"/>
      </w:pPr>
      <w:r>
        <w:rPr>
          <w:color w:val="2E74B5"/>
          <w:sz w:val="24"/>
          <w:szCs w:val="24"/>
        </w:rPr>
        <w:t xml:space="preserve">Wie die Teile zusammenhängen: Entscheidung, Datenfluss, Methoden, Stand</w:t>
      </w:r>
    </w:p>
    <w:p>
      <w:pPr>
        <w:pBdr>
          <w:bottom w:val="single" w:color="2E74B5" w:sz="12" w:space="6"/>
        </w:pBdr>
        <w:spacing w:after="150"/>
      </w:pPr>
      <w:r>
        <w:rPr>
          <w:color w:val="595959"/>
          <w:sz w:val="20"/>
          <w:szCs w:val="20"/>
        </w:rPr>
        <w:t xml:space="preserve">Projekt DataBridge · 26ss_CB_DataBridge · HS Karlsruhe / Universität Oviedo</w:t>
      </w:r>
    </w:p>
    <w:p>
      <w:pPr>
        <w:spacing w:after="130" w:line="280"/>
      </w:pPr>
      <w:r>
        <w:rPr>
          <w:b/>
          <w:bCs/>
          <w:sz w:val="22"/>
          <w:szCs w:val="22"/>
        </w:rPr>
        <w:t xml:space="preserve">Status: </w:t>
      </w:r>
      <w:r>
        <w:rPr>
          <w:b/>
          <w:bCs/>
          <w:color w:val="2E7D32"/>
          <w:sz w:val="22"/>
          <w:szCs w:val="22"/>
        </w:rPr>
        <w:t xml:space="preserve">Überblick v1.0</w:t>
      </w:r>
      <w:r>
        <w:rPr>
          <w:color w:val="595959"/>
          <w:sz w:val="22"/>
          <w:szCs w:val="22"/>
        </w:rPr>
        <w:t xml:space="preserve">     ·     </w:t>
      </w:r>
      <w:r>
        <w:rPr>
          <w:b/>
          <w:bCs/>
          <w:sz w:val="22"/>
          <w:szCs w:val="22"/>
        </w:rPr>
        <w:t xml:space="preserve">Stand: </w:t>
      </w:r>
      <w:r>
        <w:rPr>
          <w:sz w:val="22"/>
          <w:szCs w:val="22"/>
        </w:rPr>
        <w:t xml:space="preserve">20.08.2026</w:t>
      </w:r>
      <w:r>
        <w:rPr>
          <w:color w:val="595959"/>
          <w:sz w:val="22"/>
          <w:szCs w:val="22"/>
        </w:rPr>
        <w:t xml:space="preserve">     ·     </w:t>
      </w:r>
      <w:r>
        <w:rPr>
          <w:b/>
          <w:bCs/>
          <w:sz w:val="22"/>
          <w:szCs w:val="22"/>
        </w:rPr>
        <w:t xml:space="preserve">Teilbereich Wissensnetz: </w:t>
      </w:r>
      <w:r>
        <w:rPr>
          <w:sz w:val="22"/>
          <w:szCs w:val="22"/>
        </w:rPr>
        <w:t xml:space="preserve">Marcel Thiel</w:t>
      </w:r>
    </w:p>
    <w:p>
      <w:pPr>
        <w:spacing w:after="130" w:line="280"/>
      </w:pPr>
      <w:r>
        <w:rPr>
          <w:sz w:val="22"/>
          <w:szCs w:val="22"/>
        </w:rPr>
        <w:t xml:space="preserve">Dieses Dokument ist die </w:t>
      </w:r>
      <w:r>
        <w:rPr>
          <w:b/>
          <w:bCs/>
          <w:sz w:val="22"/>
          <w:szCs w:val="22"/>
        </w:rPr>
        <w:t xml:space="preserve">Klammer</w:t>
      </w:r>
      <w:r>
        <w:rPr>
          <w:sz w:val="22"/>
          <w:szCs w:val="22"/>
        </w:rPr>
        <w:t xml:space="preserve"> um den Wissensnetz-Teil des Projekts: Es fasst zusammen, was das Wissensnetz ist, wie es in die Gesamtarchitektur passt, welche Entscheidung getroffen wurde und mit welchen Methoden gearbeitet wird. Die Details stehen in eigenen Dokumenten (siehe Abschnitt 8, „Dokumenten-Landkarte“). Ein kurzes Glossar am Ende erklärt die Fachbegriffe – gedacht auch für Teammitglieder, die nicht täglich mit Ontologien arbeiten.</w:t>
      </w:r>
    </w:p>
    <w:p>
      <w:pPr>
        <w:pStyle w:val="Heading1"/>
        <w:spacing w:after="120" w:before="300"/>
      </w:pPr>
      <w:r>
        <w:rPr>
          <w:b/>
          <w:bCs/>
          <w:color w:val="1F3864"/>
          <w:sz w:val="30"/>
          <w:szCs w:val="30"/>
        </w:rPr>
        <w:t xml:space="preserve">1  Kontext &amp; Aufgabenteilung</w:t>
      </w:r>
    </w:p>
    <w:p>
      <w:pPr>
        <w:spacing w:after="130" w:line="280"/>
      </w:pPr>
      <w:r>
        <w:rPr>
          <w:sz w:val="22"/>
          <w:szCs w:val="22"/>
        </w:rPr>
        <w:t xml:space="preserve">DataBridge ist eine Schnittstelle, die Forschungsdaten aus öffentlichen Repositorien (Testfall: TCGA über die GDC-API) automatisiert beschafft, aufbereitet und für die Visualisierungswerkzeuge der Universität Oviedo bereitstellt. Die Arbeit ist im Team geteilt:</w:t>
      </w:r>
    </w:p>
    <w:p>
      <w:pPr>
        <w:pStyle w:val="ListParagraph"/>
        <w:numPr>
          <w:ilvl w:val="0"/>
          <w:numId w:val="1"/>
        </w:numPr>
        <w:spacing w:after="80" w:line="276"/>
      </w:pPr>
      <w:r>
        <w:rPr>
          <w:b/>
          <w:bCs/>
          <w:sz w:val="22"/>
          <w:szCs w:val="22"/>
        </w:rPr>
        <w:t xml:space="preserve">API-Zugriffe (Datenbeschaffung): </w:t>
      </w:r>
      <w:r>
        <w:rPr>
          <w:sz w:val="22"/>
          <w:szCs w:val="22"/>
        </w:rPr>
        <w:t xml:space="preserve">der GDC-Wrapper, der Rohdaten und Metadaten abruft.</w:t>
      </w:r>
    </w:p>
    <w:p>
      <w:pPr>
        <w:pStyle w:val="ListParagraph"/>
        <w:numPr>
          <w:ilvl w:val="0"/>
          <w:numId w:val="1"/>
        </w:numPr>
        <w:spacing w:after="80" w:line="276"/>
      </w:pPr>
      <w:r>
        <w:rPr>
          <w:b/>
          <w:bCs/>
          <w:sz w:val="22"/>
          <w:szCs w:val="22"/>
        </w:rPr>
        <w:t xml:space="preserve">Wissensnetz (dieser Teil, Marcel): </w:t>
      </w:r>
      <w:r>
        <w:rPr>
          <w:sz w:val="22"/>
          <w:szCs w:val="22"/>
        </w:rPr>
        <w:t xml:space="preserve">die semantische Schicht, die aus den beschafften Daten ein vernetztes, maschinenlesbares Bedeutungsmodell macht – und es zur Anreicherung und zum Wissensrückfluss nutzbar hält.</w:t>
      </w:r>
    </w:p>
    <w:p>
      <w:pPr>
        <w:spacing w:after="130" w:line="280"/>
      </w:pPr>
      <w:r>
        <w:rPr>
          <w:sz w:val="22"/>
          <w:szCs w:val="22"/>
        </w:rPr>
        <w:t xml:space="preserve">Die Naht zwischen beiden Teilen ist das Übergabeformat der GDC-Daten (siehe offene Punkte, Abschnitt 7).</w:t>
      </w:r>
    </w:p>
    <w:p>
      <w:pPr>
        <w:pStyle w:val="Heading1"/>
        <w:spacing w:after="120" w:before="300"/>
      </w:pPr>
      <w:r>
        <w:rPr>
          <w:b/>
          <w:bCs/>
          <w:color w:val="1F3864"/>
          <w:sz w:val="30"/>
          <w:szCs w:val="30"/>
        </w:rPr>
        <w:t xml:space="preserve">2  Das große Bild</w:t>
      </w:r>
    </w:p>
    <w:p>
      <w:pPr>
        <w:spacing w:after="130" w:line="280"/>
      </w:pPr>
      <w:r>
        <w:rPr>
          <w:sz w:val="22"/>
          <w:szCs w:val="22"/>
        </w:rPr>
        <w:t xml:space="preserve">Der Kern lässt sich auf eine Grafik verdichten. Wichtig sind zwei Dinge: die Zweiteilung des Datenflusses (Messmatrizen über anndata, Bedeutung über das Wissensnetz) und die drei Richtungen, in denen das Wissensnetz arbeitet.</w:t>
      </w:r>
    </w:p>
    <w:p>
      <w:pPr>
        <w:spacing w:after="40" w:before="60"/>
        <w:jc w:val="center"/>
      </w:pPr>
      <w:r>
        <w:drawing>
          <wp:inline distT="0" distB="0" distL="0" distR="0">
            <wp:extent cx="6096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228725"/>
                    </a:xfrm>
                    <a:prstGeom prst="rect">
                      <a:avLst/>
                    </a:prstGeom>
                  </pic:spPr>
                </pic:pic>
              </a:graphicData>
            </a:graphic>
          </wp:inline>
        </w:drawing>
      </w:r>
    </w:p>
    <w:p>
      <w:pPr>
        <w:spacing w:after="170"/>
        <w:jc w:val="center"/>
      </w:pPr>
      <w:r>
        <w:rPr>
          <w:i/>
          <w:iCs/>
          <w:color w:val="595959"/>
          <w:sz w:val="18"/>
          <w:szCs w:val="18"/>
        </w:rPr>
        <w:t xml:space="preserve">Abb. 1: Gesamtbild. ① Daten kommen per Mapping/ETL in das Wissensnetz, ② werden per SPARQL zur Anreicherung gelesen, ③ Experten-Erkenntnisse fließen über den Rückkanal zurück. Messdaten laufen komplementär über anndata.</w:t>
      </w:r>
    </w:p>
    <w:p>
      <w:pPr>
        <w:pStyle w:val="Heading1"/>
        <w:spacing w:after="120" w:before="300"/>
      </w:pPr>
      <w:r>
        <w:rPr>
          <w:b/>
          <w:bCs/>
          <w:color w:val="1F3864"/>
          <w:sz w:val="30"/>
          <w:szCs w:val="30"/>
        </w:rPr>
        <w:t xml:space="preserve">3  Grundentscheidung: RDF/OWL</w:t>
      </w:r>
    </w:p>
    <w:p>
      <w:pPr>
        <w:spacing w:after="130" w:line="280"/>
      </w:pPr>
      <w:r>
        <w:rPr>
          <w:sz w:val="22"/>
          <w:szCs w:val="22"/>
        </w:rPr>
        <w:t xml:space="preserve">Das Wissensnetz wird als </w:t>
      </w:r>
      <w:r>
        <w:rPr>
          <w:b/>
          <w:bCs/>
          <w:sz w:val="22"/>
          <w:szCs w:val="22"/>
        </w:rPr>
        <w:t xml:space="preserve">RDF-Triple-Store mit OWL</w:t>
      </w:r>
      <w:r>
        <w:rPr>
          <w:sz w:val="22"/>
          <w:szCs w:val="22"/>
        </w:rPr>
        <w:t xml:space="preserve"> (Apache Jena Fuseki/TDB2) umgesetzt, Kanten-Metadaten über RDF-star. Kurzbegründung: native Interoperabilität mit den biomedizinischen Ontologien (die bereits OWL/OBO sind), werkzeuggestützte Ontologie-Evolution, formale Semantik für Reasoning und die passende TBox/ABox-Trennung für den Wissensrückfluss. Die schwere numerische Last liegt bewusst in anndata, nicht im Graphen. Vollständige Abwägung und verworfene Alternativen: </w:t>
      </w:r>
      <w:r>
        <w:rPr>
          <w:rFonts w:ascii="Consolas" w:cs="Consolas" w:eastAsia="Consolas" w:hAnsi="Consolas"/>
          <w:sz w:val="20"/>
          <w:szCs w:val="20"/>
        </w:rPr>
        <w:t xml:space="preserve">docs/adr/0002-graph-db-wahl-offen.md</w:t>
      </w:r>
      <w:r>
        <w:rPr>
          <w:sz w:val="22"/>
          <w:szCs w:val="22"/>
        </w:rPr>
        <w:t xml:space="preserve">.</w:t>
      </w:r>
    </w:p>
    <w:p>
      <w:pPr>
        <w:pStyle w:val="Heading1"/>
        <w:spacing w:after="120" w:before="300"/>
      </w:pPr>
      <w:r>
        <w:rPr>
          <w:b/>
          <w:bCs/>
          <w:color w:val="1F3864"/>
          <w:sz w:val="30"/>
          <w:szCs w:val="30"/>
        </w:rPr>
        <w:t xml:space="preserve">4  Die drei Richtungen des Wissensnetzes</w:t>
      </w:r>
    </w:p>
    <w:p>
      <w:pPr>
        <w:spacing w:after="130" w:line="280"/>
      </w:pPr>
      <w:r>
        <w:rPr>
          <w:sz w:val="22"/>
          <w:szCs w:val="22"/>
        </w:rPr>
        <w:t xml:space="preserve">Das ist das Ordnungsprinzip, an dem sich alle Detaildokumente aufhängen: Das Wissensnetz wird beschrieben (①), gelesen (②) und fortgeschrieben (③).</w:t>
      </w:r>
    </w:p>
    <w:p>
      <w:pPr>
        <w:pStyle w:val="Heading2"/>
        <w:spacing w:after="80" w:before="210"/>
      </w:pPr>
      <w:r>
        <w:rPr>
          <w:b/>
          <w:bCs/>
          <w:color w:val="2E74B5"/>
          <w:sz w:val="24"/>
          <w:szCs w:val="24"/>
        </w:rPr>
        <w:t xml:space="preserve">4.1  ① Hinein — Mapping / Semantic ETL</w:t>
      </w:r>
    </w:p>
    <w:p>
      <w:pPr>
        <w:spacing w:after="130" w:line="280"/>
      </w:pPr>
      <w:r>
        <w:rPr>
          <w:sz w:val="22"/>
          <w:szCs w:val="22"/>
        </w:rPr>
        <w:t xml:space="preserve">Die flachen GDC-Metadaten (YAML/JSON-Schema) werden regelbasiert in RDF/OWL überführt. Der ETL-Prozess hat sechs Phasen: Extraktion, Qualitätsverbesserung, Integration (mehrere Ontologien wie NCIt/GO zusammenführen), Anpassung/Erweiterung (eigene Klassen für Tags, Annotationen, MP-Layout), Transformation (zwei Pfade: RDF und anndata) und Laden. Die Mapping-Regeln (node→owl:Class, property→DatatypeProperty, link→ObjectProperty, enum→Ontologie-Alignment …) und ein durchgerechnetes Beispiel stehen in </w:t>
      </w:r>
      <w:r>
        <w:rPr>
          <w:rFonts w:ascii="Consolas" w:cs="Consolas" w:eastAsia="Consolas" w:hAnsi="Consolas"/>
          <w:sz w:val="20"/>
          <w:szCs w:val="20"/>
        </w:rPr>
        <w:t xml:space="preserve">Mapping-Konzept_GDC-zu-RDF-OWL</w:t>
      </w:r>
      <w:r>
        <w:rPr>
          <w:sz w:val="22"/>
          <w:szCs w:val="22"/>
        </w:rPr>
        <w:t xml:space="preserve">.</w:t>
      </w:r>
    </w:p>
    <w:p>
      <w:pPr>
        <w:pStyle w:val="Heading2"/>
        <w:spacing w:after="80" w:before="210"/>
      </w:pPr>
      <w:r>
        <w:rPr>
          <w:b/>
          <w:bCs/>
          <w:color w:val="2E74B5"/>
          <w:sz w:val="24"/>
          <w:szCs w:val="24"/>
        </w:rPr>
        <w:t xml:space="preserve">4.2  ② Lesen — SPARQL / Anreicherung</w:t>
      </w:r>
    </w:p>
    <w:p>
      <w:pPr>
        <w:spacing w:after="130" w:line="280"/>
      </w:pPr>
      <w:r>
        <w:rPr>
          <w:sz w:val="22"/>
          <w:szCs w:val="22"/>
        </w:rPr>
        <w:t xml:space="preserve">Über SPARQL fragt DataBridge das Wissensnetz ab und liefert den Oviedo-Tools genau das Graphensegment, das sie brauchen – so wird aus anonymen Datenpunkten kontextualisierte Bedeutung. SPARQL arbeitet mit Graph-Pattern-Matching; besonders nützlich sind die Pfadoperatoren, z. B. </w:t>
      </w:r>
      <w:r>
        <w:rPr>
          <w:rFonts w:ascii="Consolas" w:cs="Consolas" w:eastAsia="Consolas" w:hAnsi="Consolas"/>
          <w:sz w:val="20"/>
          <w:szCs w:val="20"/>
        </w:rPr>
        <w:t xml:space="preserve">?subclass rdfs:subClassOf* :Disease</w:t>
      </w:r>
      <w:r>
        <w:rPr>
          <w:sz w:val="22"/>
          <w:szCs w:val="22"/>
        </w:rPr>
        <w:t xml:space="preserve">, um eine ganze Krankheitshierarchie in einem Ausdruck zu holen (in SQL bräuchte man rekursive JOINs). Das ist der Mechanismus hinter dem „Context Enrichment“.</w:t>
      </w:r>
    </w:p>
    <w:p>
      <w:pPr>
        <w:pStyle w:val="Heading2"/>
        <w:spacing w:after="80" w:before="210"/>
      </w:pPr>
      <w:r>
        <w:rPr>
          <w:b/>
          <w:bCs/>
          <w:color w:val="2E74B5"/>
          <w:sz w:val="24"/>
          <w:szCs w:val="24"/>
        </w:rPr>
        <w:t xml:space="preserve">4.3  ③ Zurück — Rückkanal / Knowledge Transfer</w:t>
      </w:r>
    </w:p>
    <w:p>
      <w:pPr>
        <w:spacing w:after="130" w:line="280"/>
      </w:pPr>
      <w:r>
        <w:rPr>
          <w:sz w:val="22"/>
          <w:szCs w:val="22"/>
        </w:rPr>
        <w:t xml:space="preserve">Erkennt ein Arzt in Morphing Projections ein Muster (z. B. eine Gruppe gemeinsam driftender, evtl. fehlklassifizierter Proben), wird diese Selektion erfasst, in RDF übersetzt (als Annotation mit PROV-O-Provenienz und RDF-star) und per SPARQL Update in ein persönliches Wissensnetz zurückgeschrieben. So lernt das Netz aus der Analyse. Methoden und Beispiel: </w:t>
      </w:r>
      <w:r>
        <w:rPr>
          <w:rFonts w:ascii="Consolas" w:cs="Consolas" w:eastAsia="Consolas" w:hAnsi="Consolas"/>
          <w:sz w:val="20"/>
          <w:szCs w:val="20"/>
        </w:rPr>
        <w:t xml:space="preserve">Rueckkanal-Konzept_MP-zu-RDF</w:t>
      </w:r>
      <w:r>
        <w:rPr>
          <w:sz w:val="22"/>
          <w:szCs w:val="22"/>
        </w:rPr>
        <w:t xml:space="preserve">.</w:t>
      </w:r>
    </w:p>
    <w:p>
      <w:pPr>
        <w:pStyle w:val="Heading1"/>
        <w:spacing w:after="120" w:before="300"/>
      </w:pPr>
      <w:r>
        <w:rPr>
          <w:b/>
          <w:bCs/>
          <w:color w:val="1F3864"/>
          <w:sz w:val="30"/>
          <w:szCs w:val="30"/>
        </w:rPr>
        <w:t xml:space="preserve">5  Ontologie-Schema (kompakt)</w:t>
      </w:r>
    </w:p>
    <w:p>
      <w:pPr>
        <w:spacing w:after="130" w:line="280"/>
      </w:pPr>
      <w:r>
        <w:rPr>
          <w:sz w:val="22"/>
          <w:szCs w:val="22"/>
        </w:rPr>
        <w:t xml:space="preserve">Das Wissensnetz modelliert die Kern-Entitäten der Onkologie und ihre Beziehungen. Statt Begriffe selbst zu erfinden, werden etablierte Bio-Ontologien wiederverwendet (FAIR-konform).</w:t>
      </w:r>
    </w:p>
    <w:p>
      <w:pPr>
        <w:spacing w:after="40" w:before="60"/>
        <w:jc w:val="center"/>
      </w:pPr>
      <w:r>
        <w:drawing>
          <wp:inline distT="0" distB="0" distL="0" distR="0">
            <wp:extent cx="2857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62150"/>
                    </a:xfrm>
                    <a:prstGeom prst="rect">
                      <a:avLst/>
                    </a:prstGeom>
                  </pic:spPr>
                </pic:pic>
              </a:graphicData>
            </a:graphic>
          </wp:inline>
        </w:drawing>
      </w:r>
    </w:p>
    <w:p>
      <w:pPr>
        <w:spacing w:after="170"/>
        <w:jc w:val="center"/>
      </w:pPr>
      <w:r>
        <w:rPr>
          <w:i/>
          <w:iCs/>
          <w:color w:val="595959"/>
          <w:sz w:val="18"/>
          <w:szCs w:val="18"/>
        </w:rPr>
        <w:t xml:space="preserve">Abb. 2: Kern-Entitäten und Relationen (Auszug). Vollständige Erläuterung im Einlese-Dokument.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1F3864" w:color="auto" w:val="clear"/>
            <w:tcMar>
              <w:top w:type="dxa" w:w="55"/>
              <w:left w:type="dxa" w:w="90"/>
              <w:bottom w:type="dxa" w:w="55"/>
              <w:right w:type="dxa" w:w="90"/>
            </w:tcMar>
          </w:tcPr>
          <w:p>
            <w:r>
              <w:rPr>
                <w:b/>
                <w:bCs/>
                <w:color w:val="FFFFFF"/>
                <w:sz w:val="19"/>
                <w:szCs w:val="19"/>
              </w:rPr>
              <w:t xml:space="preserve">Ontologie</w:t>
            </w:r>
          </w:p>
        </w:tc>
        <w:tc>
          <w:tcPr>
            <w:tcW w:type="dxa" w:w="5900"/>
            <w:shd w:fill="1F3864" w:color="auto" w:val="clear"/>
            <w:tcMar>
              <w:top w:type="dxa" w:w="55"/>
              <w:left w:type="dxa" w:w="90"/>
              <w:bottom w:type="dxa" w:w="55"/>
              <w:right w:type="dxa" w:w="90"/>
            </w:tcMar>
          </w:tcPr>
          <w:p>
            <w:r>
              <w:rPr>
                <w:b/>
                <w:bCs/>
                <w:color w:val="FFFFFF"/>
                <w:sz w:val="19"/>
                <w:szCs w:val="19"/>
              </w:rPr>
              <w:t xml:space="preserve">Einsatz</w:t>
            </w:r>
          </w:p>
        </w:tc>
      </w:tr>
      <w:tr>
        <w:tc>
          <w:tcPr>
            <w:tcW w:type="dxa" w:w="3400"/>
            <w:tcMar>
              <w:top w:type="dxa" w:w="45"/>
              <w:left w:type="dxa" w:w="90"/>
              <w:bottom w:type="dxa" w:w="45"/>
              <w:right w:type="dxa" w:w="90"/>
            </w:tcMar>
          </w:tcPr>
          <w:p>
            <w:r>
              <w:rPr>
                <w:sz w:val="19"/>
                <w:szCs w:val="19"/>
              </w:rPr>
              <w:t xml:space="preserve">Gene Ontology (GO)</w:t>
            </w:r>
          </w:p>
        </w:tc>
        <w:tc>
          <w:tcPr>
            <w:tcW w:type="dxa" w:w="5900"/>
            <w:tcMar>
              <w:top w:type="dxa" w:w="45"/>
              <w:left w:type="dxa" w:w="90"/>
              <w:bottom w:type="dxa" w:w="45"/>
              <w:right w:type="dxa" w:w="90"/>
            </w:tcMar>
          </w:tcPr>
          <w:p>
            <w:r>
              <w:rPr>
                <w:sz w:val="19"/>
                <w:szCs w:val="19"/>
              </w:rPr>
              <w:t xml:space="preserve">Genfunktion / -annotation</w:t>
            </w:r>
          </w:p>
        </w:tc>
      </w:tr>
      <w:tr>
        <w:tc>
          <w:tcPr>
            <w:tcW w:type="dxa" w:w="3400"/>
            <w:shd w:fill="EEF3FB" w:color="auto" w:val="clear"/>
            <w:tcMar>
              <w:top w:type="dxa" w:w="45"/>
              <w:left w:type="dxa" w:w="90"/>
              <w:bottom w:type="dxa" w:w="45"/>
              <w:right w:type="dxa" w:w="90"/>
            </w:tcMar>
          </w:tcPr>
          <w:p>
            <w:r>
              <w:rPr>
                <w:sz w:val="19"/>
                <w:szCs w:val="19"/>
              </w:rPr>
              <w:t xml:space="preserve">Sequence Ontology (SO)</w:t>
            </w:r>
          </w:p>
        </w:tc>
        <w:tc>
          <w:tcPr>
            <w:tcW w:type="dxa" w:w="5900"/>
            <w:shd w:fill="EEF3FB" w:color="auto" w:val="clear"/>
            <w:tcMar>
              <w:top w:type="dxa" w:w="45"/>
              <w:left w:type="dxa" w:w="90"/>
              <w:bottom w:type="dxa" w:w="45"/>
              <w:right w:type="dxa" w:w="90"/>
            </w:tcMar>
          </w:tcPr>
          <w:p>
            <w:r>
              <w:rPr>
                <w:sz w:val="19"/>
                <w:szCs w:val="19"/>
              </w:rPr>
              <w:t xml:space="preserve">Mutationen, CNVs</w:t>
            </w:r>
          </w:p>
        </w:tc>
      </w:tr>
      <w:tr>
        <w:tc>
          <w:tcPr>
            <w:tcW w:type="dxa" w:w="3400"/>
            <w:tcMar>
              <w:top w:type="dxa" w:w="45"/>
              <w:left w:type="dxa" w:w="90"/>
              <w:bottom w:type="dxa" w:w="45"/>
              <w:right w:type="dxa" w:w="90"/>
            </w:tcMar>
          </w:tcPr>
          <w:p>
            <w:r>
              <w:rPr>
                <w:sz w:val="19"/>
                <w:szCs w:val="19"/>
              </w:rPr>
              <w:t xml:space="preserve">NCI Thesaurus (NCIt)</w:t>
            </w:r>
          </w:p>
        </w:tc>
        <w:tc>
          <w:tcPr>
            <w:tcW w:type="dxa" w:w="5900"/>
            <w:tcMar>
              <w:top w:type="dxa" w:w="45"/>
              <w:left w:type="dxa" w:w="90"/>
              <w:bottom w:type="dxa" w:w="45"/>
              <w:right w:type="dxa" w:w="90"/>
            </w:tcMar>
          </w:tcPr>
          <w:p>
            <w:r>
              <w:rPr>
                <w:sz w:val="19"/>
                <w:szCs w:val="19"/>
              </w:rPr>
              <w:t xml:space="preserve">Krebsarten, klin. Konzepte</w:t>
            </w:r>
          </w:p>
        </w:tc>
      </w:tr>
      <w:tr>
        <w:tc>
          <w:tcPr>
            <w:tcW w:type="dxa" w:w="3400"/>
            <w:shd w:fill="EEF3FB" w:color="auto" w:val="clear"/>
            <w:tcMar>
              <w:top w:type="dxa" w:w="45"/>
              <w:left w:type="dxa" w:w="90"/>
              <w:bottom w:type="dxa" w:w="45"/>
              <w:right w:type="dxa" w:w="90"/>
            </w:tcMar>
          </w:tcPr>
          <w:p>
            <w:r>
              <w:rPr>
                <w:sz w:val="19"/>
                <w:szCs w:val="19"/>
              </w:rPr>
              <w:t xml:space="preserve">Disease Ontology (DO)</w:t>
            </w:r>
          </w:p>
        </w:tc>
        <w:tc>
          <w:tcPr>
            <w:tcW w:type="dxa" w:w="5900"/>
            <w:shd w:fill="EEF3FB" w:color="auto" w:val="clear"/>
            <w:tcMar>
              <w:top w:type="dxa" w:w="45"/>
              <w:left w:type="dxa" w:w="90"/>
              <w:bottom w:type="dxa" w:w="45"/>
              <w:right w:type="dxa" w:w="90"/>
            </w:tcMar>
          </w:tcPr>
          <w:p>
            <w:r>
              <w:rPr>
                <w:sz w:val="19"/>
                <w:szCs w:val="19"/>
              </w:rPr>
              <w:t xml:space="preserve">Diagnose / Krankheit</w:t>
            </w:r>
          </w:p>
        </w:tc>
      </w:tr>
      <w:tr>
        <w:tc>
          <w:tcPr>
            <w:tcW w:type="dxa" w:w="3400"/>
            <w:tcMar>
              <w:top w:type="dxa" w:w="45"/>
              <w:left w:type="dxa" w:w="90"/>
              <w:bottom w:type="dxa" w:w="45"/>
              <w:right w:type="dxa" w:w="90"/>
            </w:tcMar>
          </w:tcPr>
          <w:p>
            <w:r>
              <w:rPr>
                <w:sz w:val="19"/>
                <w:szCs w:val="19"/>
              </w:rPr>
              <w:t xml:space="preserve">Ensembl / UniProt / miRBase</w:t>
            </w:r>
          </w:p>
        </w:tc>
        <w:tc>
          <w:tcPr>
            <w:tcW w:type="dxa" w:w="5900"/>
            <w:tcMar>
              <w:top w:type="dxa" w:w="45"/>
              <w:left w:type="dxa" w:w="90"/>
              <w:bottom w:type="dxa" w:w="45"/>
              <w:right w:type="dxa" w:w="90"/>
            </w:tcMar>
          </w:tcPr>
          <w:p>
            <w:r>
              <w:rPr>
                <w:sz w:val="19"/>
                <w:szCs w:val="19"/>
              </w:rPr>
              <w:t xml:space="preserve">stabile Gen-/Protein-/miRNA-IDs</w:t>
            </w:r>
          </w:p>
        </w:tc>
      </w:tr>
    </w:tbl>
    <w:p>
      <w:pPr>
        <w:pStyle w:val="Heading1"/>
        <w:spacing w:after="120" w:before="300"/>
      </w:pPr>
      <w:r>
        <w:rPr>
          <w:b/>
          <w:bCs/>
          <w:color w:val="1F3864"/>
          <w:sz w:val="30"/>
          <w:szCs w:val="30"/>
        </w:rPr>
        <w:t xml:space="preserve">6  Technologie-Stack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1F3864" w:color="auto" w:val="clear"/>
            <w:tcMar>
              <w:top w:type="dxa" w:w="55"/>
              <w:left w:type="dxa" w:w="90"/>
              <w:bottom w:type="dxa" w:w="55"/>
              <w:right w:type="dxa" w:w="90"/>
            </w:tcMar>
          </w:tcPr>
          <w:p>
            <w:r>
              <w:rPr>
                <w:b/>
                <w:bCs/>
                <w:color w:val="FFFFFF"/>
                <w:sz w:val="19"/>
                <w:szCs w:val="19"/>
              </w:rPr>
              <w:t xml:space="preserve">Werkzeug</w:t>
            </w:r>
          </w:p>
        </w:tc>
        <w:tc>
          <w:tcPr>
            <w:tcW w:type="dxa" w:w="5900"/>
            <w:shd w:fill="1F3864" w:color="auto" w:val="clear"/>
            <w:tcMar>
              <w:top w:type="dxa" w:w="55"/>
              <w:left w:type="dxa" w:w="90"/>
              <w:bottom w:type="dxa" w:w="55"/>
              <w:right w:type="dxa" w:w="90"/>
            </w:tcMar>
          </w:tcPr>
          <w:p>
            <w:r>
              <w:rPr>
                <w:b/>
                <w:bCs/>
                <w:color w:val="FFFFFF"/>
                <w:sz w:val="19"/>
                <w:szCs w:val="19"/>
              </w:rPr>
              <w:t xml:space="preserve">Rolle</w:t>
            </w:r>
          </w:p>
        </w:tc>
      </w:tr>
      <w:tr>
        <w:tc>
          <w:tcPr>
            <w:tcW w:type="dxa" w:w="3400"/>
            <w:tcMar>
              <w:top w:type="dxa" w:w="45"/>
              <w:left w:type="dxa" w:w="90"/>
              <w:bottom w:type="dxa" w:w="45"/>
              <w:right w:type="dxa" w:w="90"/>
            </w:tcMar>
          </w:tcPr>
          <w:p>
            <w:r>
              <w:rPr>
                <w:rFonts w:ascii="Consolas" w:cs="Consolas" w:eastAsia="Consolas" w:hAnsi="Consolas"/>
                <w:sz w:val="20"/>
                <w:szCs w:val="20"/>
              </w:rPr>
              <w:t xml:space="preserve">rdflib</w:t>
            </w:r>
          </w:p>
        </w:tc>
        <w:tc>
          <w:tcPr>
            <w:tcW w:type="dxa" w:w="5900"/>
            <w:tcMar>
              <w:top w:type="dxa" w:w="45"/>
              <w:left w:type="dxa" w:w="90"/>
              <w:bottom w:type="dxa" w:w="45"/>
              <w:right w:type="dxa" w:w="90"/>
            </w:tcMar>
          </w:tcPr>
          <w:p>
            <w:r>
              <w:rPr>
                <w:sz w:val="19"/>
                <w:szCs w:val="19"/>
              </w:rPr>
              <w:t xml:space="preserve">Python: ETL, RDF erzeugen/serialisieren</w:t>
            </w:r>
          </w:p>
        </w:tc>
      </w:tr>
      <w:tr>
        <w:tc>
          <w:tcPr>
            <w:tcW w:type="dxa" w:w="3400"/>
            <w:shd w:fill="EEF3FB" w:color="auto" w:val="clear"/>
            <w:tcMar>
              <w:top w:type="dxa" w:w="45"/>
              <w:left w:type="dxa" w:w="90"/>
              <w:bottom w:type="dxa" w:w="45"/>
              <w:right w:type="dxa" w:w="90"/>
            </w:tcMar>
          </w:tcPr>
          <w:p>
            <w:r>
              <w:rPr>
                <w:sz w:val="19"/>
                <w:szCs w:val="19"/>
              </w:rPr>
              <w:t xml:space="preserve">Apache Jena / Fuseki (TDB2)</w:t>
            </w:r>
          </w:p>
        </w:tc>
        <w:tc>
          <w:tcPr>
            <w:tcW w:type="dxa" w:w="5900"/>
            <w:shd w:fill="EEF3FB" w:color="auto" w:val="clear"/>
            <w:tcMar>
              <w:top w:type="dxa" w:w="45"/>
              <w:left w:type="dxa" w:w="90"/>
              <w:bottom w:type="dxa" w:w="45"/>
              <w:right w:type="dxa" w:w="90"/>
            </w:tcMar>
          </w:tcPr>
          <w:p>
            <w:r>
              <w:rPr>
                <w:sz w:val="19"/>
                <w:szCs w:val="19"/>
              </w:rPr>
              <w:t xml:space="preserve">Triple-Store + SPARQL-Endpoint, RDF-star</w:t>
            </w:r>
          </w:p>
        </w:tc>
      </w:tr>
      <w:tr>
        <w:tc>
          <w:tcPr>
            <w:tcW w:type="dxa" w:w="3400"/>
            <w:tcMar>
              <w:top w:type="dxa" w:w="45"/>
              <w:left w:type="dxa" w:w="90"/>
              <w:bottom w:type="dxa" w:w="45"/>
              <w:right w:type="dxa" w:w="90"/>
            </w:tcMar>
          </w:tcPr>
          <w:p>
            <w:r>
              <w:rPr>
                <w:sz w:val="19"/>
                <w:szCs w:val="19"/>
              </w:rPr>
              <w:t xml:space="preserve">Protégé / OWL API</w:t>
            </w:r>
          </w:p>
        </w:tc>
        <w:tc>
          <w:tcPr>
            <w:tcW w:type="dxa" w:w="5900"/>
            <w:tcMar>
              <w:top w:type="dxa" w:w="45"/>
              <w:left w:type="dxa" w:w="90"/>
              <w:bottom w:type="dxa" w:w="45"/>
              <w:right w:type="dxa" w:w="90"/>
            </w:tcMar>
          </w:tcPr>
          <w:p>
            <w:r>
              <w:rPr>
                <w:sz w:val="19"/>
                <w:szCs w:val="19"/>
              </w:rPr>
              <w:t xml:space="preserve">Ontologie entwerfen, pflegen, versionieren</w:t>
            </w:r>
          </w:p>
        </w:tc>
      </w:tr>
      <w:tr>
        <w:tc>
          <w:tcPr>
            <w:tcW w:type="dxa" w:w="3400"/>
            <w:shd w:fill="EEF3FB" w:color="auto" w:val="clear"/>
            <w:tcMar>
              <w:top w:type="dxa" w:w="45"/>
              <w:left w:type="dxa" w:w="90"/>
              <w:bottom w:type="dxa" w:w="45"/>
              <w:right w:type="dxa" w:w="90"/>
            </w:tcMar>
          </w:tcPr>
          <w:p>
            <w:r>
              <w:rPr>
                <w:sz w:val="19"/>
                <w:szCs w:val="19"/>
              </w:rPr>
              <w:t xml:space="preserve">SPARQL / SPARQL Update</w:t>
            </w:r>
          </w:p>
        </w:tc>
        <w:tc>
          <w:tcPr>
            <w:tcW w:type="dxa" w:w="5900"/>
            <w:shd w:fill="EEF3FB" w:color="auto" w:val="clear"/>
            <w:tcMar>
              <w:top w:type="dxa" w:w="45"/>
              <w:left w:type="dxa" w:w="90"/>
              <w:bottom w:type="dxa" w:w="45"/>
              <w:right w:type="dxa" w:w="90"/>
            </w:tcMar>
          </w:tcPr>
          <w:p>
            <w:r>
              <w:rPr>
                <w:sz w:val="19"/>
                <w:szCs w:val="19"/>
              </w:rPr>
              <w:t xml:space="preserve">Lesen (Anreicherung) + Schreiben (Rückkanal)</w:t>
            </w:r>
          </w:p>
        </w:tc>
      </w:tr>
      <w:tr>
        <w:tc>
          <w:tcPr>
            <w:tcW w:type="dxa" w:w="3400"/>
            <w:tcMar>
              <w:top w:type="dxa" w:w="45"/>
              <w:left w:type="dxa" w:w="90"/>
              <w:bottom w:type="dxa" w:w="45"/>
              <w:right w:type="dxa" w:w="90"/>
            </w:tcMar>
          </w:tcPr>
          <w:p>
            <w:r>
              <w:rPr>
                <w:rFonts w:ascii="Consolas" w:cs="Consolas" w:eastAsia="Consolas" w:hAnsi="Consolas"/>
                <w:sz w:val="20"/>
                <w:szCs w:val="20"/>
              </w:rPr>
              <w:t xml:space="preserve">anndata</w:t>
            </w:r>
            <w:r>
              <w:rPr>
                <w:sz w:val="19"/>
                <w:szCs w:val="19"/>
              </w:rPr>
              <w:t xml:space="preserve"> / Scanpy</w:t>
            </w:r>
          </w:p>
        </w:tc>
        <w:tc>
          <w:tcPr>
            <w:tcW w:type="dxa" w:w="5900"/>
            <w:tcMar>
              <w:top w:type="dxa" w:w="45"/>
              <w:left w:type="dxa" w:w="90"/>
              <w:bottom w:type="dxa" w:w="45"/>
              <w:right w:type="dxa" w:w="90"/>
            </w:tcMar>
          </w:tcPr>
          <w:p>
            <w:r>
              <w:rPr>
                <w:sz w:val="19"/>
                <w:szCs w:val="19"/>
              </w:rPr>
              <w:t xml:space="preserve">numerische Analyseschicht (komplementär)</w:t>
            </w:r>
          </w:p>
        </w:tc>
      </w:tr>
    </w:tbl>
    <w:p>
      <w:pPr>
        <w:pStyle w:val="Heading1"/>
        <w:spacing w:after="120" w:before="300"/>
      </w:pPr>
      <w:r>
        <w:rPr>
          <w:b/>
          <w:bCs/>
          <w:color w:val="1F3864"/>
          <w:sz w:val="30"/>
          <w:szCs w:val="30"/>
        </w:rPr>
        <w:t xml:space="preserve">7  Aktueller Stand &amp; offene Entscheidungen</w:t>
      </w:r>
    </w:p>
    <w:p>
      <w:pPr>
        <w:pStyle w:val="Heading2"/>
        <w:spacing w:after="80" w:before="210"/>
      </w:pPr>
      <w:r>
        <w:rPr>
          <w:b/>
          <w:bCs/>
          <w:color w:val="2E74B5"/>
          <w:sz w:val="24"/>
          <w:szCs w:val="24"/>
        </w:rPr>
        <w:t xml:space="preserve">Entschieden</w:t>
      </w:r>
    </w:p>
    <w:p>
      <w:pPr>
        <w:pStyle w:val="ListParagraph"/>
        <w:numPr>
          <w:ilvl w:val="0"/>
          <w:numId w:val="1"/>
        </w:numPr>
        <w:spacing w:after="80" w:line="276"/>
      </w:pPr>
      <w:r>
        <w:rPr>
          <w:b/>
          <w:bCs/>
          <w:sz w:val="22"/>
          <w:szCs w:val="22"/>
        </w:rPr>
        <w:t xml:space="preserve">Graph-Modell: </w:t>
      </w:r>
      <w:r>
        <w:rPr>
          <w:sz w:val="22"/>
          <w:szCs w:val="22"/>
        </w:rPr>
        <w:t xml:space="preserve">RDF/OWL (Jena Fuseki/TDB2) + RDF-star — ADR-0002.</w:t>
      </w:r>
    </w:p>
    <w:p>
      <w:pPr>
        <w:pStyle w:val="ListParagraph"/>
        <w:numPr>
          <w:ilvl w:val="0"/>
          <w:numId w:val="1"/>
        </w:numPr>
        <w:spacing w:after="80" w:line="276"/>
      </w:pPr>
      <w:r>
        <w:rPr>
          <w:b/>
          <w:bCs/>
          <w:sz w:val="22"/>
          <w:szCs w:val="22"/>
        </w:rPr>
        <w:t xml:space="preserve">Zielformat der Analyse-Daten: </w:t>
      </w:r>
      <w:r>
        <w:rPr>
          <w:sz w:val="22"/>
          <w:szCs w:val="22"/>
        </w:rPr>
        <w:t xml:space="preserve">anndata/.h5ad.</w:t>
      </w:r>
    </w:p>
    <w:p>
      <w:pPr>
        <w:pStyle w:val="ListParagraph"/>
        <w:numPr>
          <w:ilvl w:val="0"/>
          <w:numId w:val="1"/>
        </w:numPr>
        <w:spacing w:after="80" w:line="276"/>
      </w:pPr>
      <w:r>
        <w:rPr>
          <w:b/>
          <w:bCs/>
          <w:sz w:val="22"/>
          <w:szCs w:val="22"/>
        </w:rPr>
        <w:t xml:space="preserve">Methodik der drei Richtungen </w:t>
      </w:r>
      <w:r>
        <w:rPr>
          <w:sz w:val="22"/>
          <w:szCs w:val="22"/>
        </w:rPr>
        <w:t xml:space="preserve">konzeptionell ausgearbeitet (Mapping, SPARQL, Rückkanal).</w:t>
      </w:r>
    </w:p>
    <w:p>
      <w:pPr>
        <w:pStyle w:val="Heading2"/>
        <w:spacing w:after="80" w:before="210"/>
      </w:pPr>
      <w:r>
        <w:rPr>
          <w:b/>
          <w:bCs/>
          <w:color w:val="2E74B5"/>
          <w:sz w:val="24"/>
          <w:szCs w:val="24"/>
        </w:rPr>
        <w:t xml:space="preserve">Offen</w:t>
      </w:r>
    </w:p>
    <w:p>
      <w:pPr>
        <w:pStyle w:val="ListParagraph"/>
        <w:numPr>
          <w:ilvl w:val="0"/>
          <w:numId w:val="1"/>
        </w:numPr>
        <w:spacing w:after="80" w:line="276"/>
      </w:pPr>
      <w:r>
        <w:rPr>
          <w:b/>
          <w:bCs/>
          <w:sz w:val="22"/>
          <w:szCs w:val="22"/>
        </w:rPr>
        <w:t xml:space="preserve">Übergabeformat GDC-Wrapper → Wissensnetz </w:t>
      </w:r>
      <w:r>
        <w:rPr>
          <w:sz w:val="22"/>
          <w:szCs w:val="22"/>
        </w:rPr>
        <w:t xml:space="preserve">(Naht zum API-Teil).</w:t>
      </w:r>
    </w:p>
    <w:p>
      <w:pPr>
        <w:pStyle w:val="ListParagraph"/>
        <w:numPr>
          <w:ilvl w:val="0"/>
          <w:numId w:val="1"/>
        </w:numPr>
        <w:spacing w:after="80" w:line="276"/>
      </w:pPr>
      <w:r>
        <w:rPr>
          <w:b/>
          <w:bCs/>
          <w:sz w:val="22"/>
          <w:szCs w:val="22"/>
        </w:rPr>
        <w:t xml:space="preserve">enum-Werte: </w:t>
      </w:r>
      <w:r>
        <w:rPr>
          <w:sz w:val="22"/>
          <w:szCs w:val="22"/>
        </w:rPr>
        <w:t xml:space="preserve">literal oder Alignment auf NCIt/DO (pro Feld entscheiden).</w:t>
      </w:r>
    </w:p>
    <w:p>
      <w:pPr>
        <w:pStyle w:val="ListParagraph"/>
        <w:numPr>
          <w:ilvl w:val="0"/>
          <w:numId w:val="1"/>
        </w:numPr>
        <w:spacing w:after="80" w:line="276"/>
      </w:pPr>
      <w:r>
        <w:rPr>
          <w:b/>
          <w:bCs/>
          <w:sz w:val="22"/>
          <w:szCs w:val="22"/>
        </w:rPr>
        <w:t xml:space="preserve">Mapping-Formalisierung: </w:t>
      </w:r>
      <w:r>
        <w:rPr>
          <w:sz w:val="22"/>
          <w:szCs w:val="22"/>
        </w:rPr>
        <w:t xml:space="preserve">Global-as-View vs. Local-as-View.</w:t>
      </w:r>
    </w:p>
    <w:p>
      <w:pPr>
        <w:pStyle w:val="ListParagraph"/>
        <w:numPr>
          <w:ilvl w:val="0"/>
          <w:numId w:val="1"/>
        </w:numPr>
        <w:spacing w:after="80" w:line="276"/>
      </w:pPr>
      <w:r>
        <w:rPr>
          <w:b/>
          <w:bCs/>
          <w:sz w:val="22"/>
          <w:szCs w:val="22"/>
        </w:rPr>
        <w:t xml:space="preserve">Rückkanal-Umfang mit Oviedo: </w:t>
      </w:r>
      <w:r>
        <w:rPr>
          <w:sz w:val="22"/>
          <w:szCs w:val="22"/>
        </w:rPr>
        <w:t xml:space="preserve">echtes Frontend-Event oder prototypische Demonstration.</w:t>
      </w:r>
    </w:p>
    <w:p>
      <w:pPr>
        <w:pStyle w:val="ListParagraph"/>
        <w:numPr>
          <w:ilvl w:val="0"/>
          <w:numId w:val="1"/>
        </w:numPr>
        <w:spacing w:after="80" w:line="276"/>
      </w:pPr>
      <w:r>
        <w:rPr>
          <w:b/>
          <w:bCs/>
          <w:sz w:val="22"/>
          <w:szCs w:val="22"/>
        </w:rPr>
        <w:t xml:space="preserve">Frontend-/Visualisierungstechnologie </w:t>
      </w:r>
      <w:r>
        <w:rPr>
          <w:sz w:val="22"/>
          <w:szCs w:val="22"/>
        </w:rPr>
        <w:t xml:space="preserve">(projektweit, nicht nur Wissensnetz).</w:t>
      </w:r>
    </w:p>
    <w:p>
      <w:pPr>
        <w:pStyle w:val="Heading1"/>
        <w:spacing w:after="120" w:before="300"/>
      </w:pPr>
      <w:r>
        <w:rPr>
          <w:b/>
          <w:bCs/>
          <w:color w:val="1F3864"/>
          <w:sz w:val="30"/>
          <w:szCs w:val="30"/>
        </w:rPr>
        <w:t xml:space="preserve">8  Dokumenten-Landkarte</w:t>
      </w:r>
    </w:p>
    <w:p>
      <w:pPr>
        <w:spacing w:after="130" w:line="280"/>
      </w:pPr>
      <w:r>
        <w:rPr>
          <w:sz w:val="22"/>
          <w:szCs w:val="22"/>
        </w:rPr>
        <w:t xml:space="preserve">Wo die Details stehen. Alle Dateien liegen im Projekt-Repository.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00"/>
      </w:tblGrid>
      <w:tr>
        <w:trPr>
          <w:tblHeader/>
        </w:trPr>
        <w:tc>
          <w:tcPr>
            <w:tcW w:type="dxa" w:w="2500"/>
            <w:shd w:fill="1F3864" w:color="auto" w:val="clear"/>
            <w:tcMar>
              <w:top w:type="dxa" w:w="55"/>
              <w:left w:type="dxa" w:w="90"/>
              <w:bottom w:type="dxa" w:w="55"/>
              <w:right w:type="dxa" w:w="90"/>
            </w:tcMar>
          </w:tcPr>
          <w:p>
            <w:r>
              <w:rPr>
                <w:b/>
                <w:bCs/>
                <w:color w:val="FFFFFF"/>
                <w:sz w:val="19"/>
                <w:szCs w:val="19"/>
              </w:rPr>
              <w:t xml:space="preserve">Dokument</w:t>
            </w:r>
          </w:p>
        </w:tc>
        <w:tc>
          <w:tcPr>
            <w:tcW w:type="dxa" w:w="4100"/>
            <w:shd w:fill="1F3864" w:color="auto" w:val="clear"/>
            <w:tcMar>
              <w:top w:type="dxa" w:w="55"/>
              <w:left w:type="dxa" w:w="90"/>
              <w:bottom w:type="dxa" w:w="55"/>
              <w:right w:type="dxa" w:w="90"/>
            </w:tcMar>
          </w:tcPr>
          <w:p>
            <w:r>
              <w:rPr>
                <w:b/>
                <w:bCs/>
                <w:color w:val="FFFFFF"/>
                <w:sz w:val="19"/>
                <w:szCs w:val="19"/>
              </w:rPr>
              <w:t xml:space="preserve">Zweck</w:t>
            </w:r>
          </w:p>
        </w:tc>
        <w:tc>
          <w:tcPr>
            <w:tcW w:type="dxa" w:w="2700"/>
            <w:shd w:fill="1F3864" w:color="auto" w:val="clear"/>
            <w:tcMar>
              <w:top w:type="dxa" w:w="55"/>
              <w:left w:type="dxa" w:w="90"/>
              <w:bottom w:type="dxa" w:w="55"/>
              <w:right w:type="dxa" w:w="90"/>
            </w:tcMar>
          </w:tcPr>
          <w:p>
            <w:r>
              <w:rPr>
                <w:b/>
                <w:bCs/>
                <w:color w:val="FFFFFF"/>
                <w:sz w:val="19"/>
                <w:szCs w:val="19"/>
              </w:rPr>
              <w:t xml:space="preserve">Ort</w:t>
            </w:r>
          </w:p>
        </w:tc>
      </w:tr>
      <w:tr>
        <w:tc>
          <w:tcPr>
            <w:tcW w:type="dxa" w:w="2500"/>
            <w:tcMar>
              <w:top w:type="dxa" w:w="45"/>
              <w:left w:type="dxa" w:w="90"/>
              <w:bottom w:type="dxa" w:w="45"/>
              <w:right w:type="dxa" w:w="90"/>
            </w:tcMar>
          </w:tcPr>
          <w:p>
            <w:r>
              <w:rPr>
                <w:sz w:val="19"/>
                <w:szCs w:val="19"/>
              </w:rPr>
              <w:t xml:space="preserve">Einlese-Entwurf</w:t>
            </w:r>
          </w:p>
        </w:tc>
        <w:tc>
          <w:tcPr>
            <w:tcW w:type="dxa" w:w="4100"/>
            <w:tcMar>
              <w:top w:type="dxa" w:w="45"/>
              <w:left w:type="dxa" w:w="90"/>
              <w:bottom w:type="dxa" w:w="45"/>
              <w:right w:type="dxa" w:w="90"/>
            </w:tcMar>
          </w:tcPr>
          <w:p>
            <w:r>
              <w:rPr>
                <w:sz w:val="19"/>
                <w:szCs w:val="19"/>
              </w:rPr>
              <w:t xml:space="preserve">Überblick zum Einlesen in den Wissensnetz-Teil</w:t>
            </w:r>
          </w:p>
        </w:tc>
        <w:tc>
          <w:tcPr>
            <w:tcW w:type="dxa" w:w="2700"/>
            <w:tcMar>
              <w:top w:type="dxa" w:w="45"/>
              <w:left w:type="dxa" w:w="90"/>
              <w:bottom w:type="dxa" w:w="45"/>
              <w:right w:type="dxa" w:w="90"/>
            </w:tcMar>
          </w:tcPr>
          <w:p>
            <w:r>
              <w:rPr>
                <w:rFonts w:ascii="Consolas" w:cs="Consolas" w:eastAsia="Consolas" w:hAnsi="Consolas"/>
                <w:sz w:val="20"/>
                <w:szCs w:val="20"/>
              </w:rPr>
              <w:t xml:space="preserve">wissensnetz/Wissensnetz_Konzept-Entwurf</w:t>
            </w:r>
          </w:p>
        </w:tc>
      </w:tr>
      <w:tr>
        <w:tc>
          <w:tcPr>
            <w:tcW w:type="dxa" w:w="2500"/>
            <w:shd w:fill="EEF3FB" w:color="auto" w:val="clear"/>
            <w:tcMar>
              <w:top w:type="dxa" w:w="45"/>
              <w:left w:type="dxa" w:w="90"/>
              <w:bottom w:type="dxa" w:w="45"/>
              <w:right w:type="dxa" w:w="90"/>
            </w:tcMar>
          </w:tcPr>
          <w:p>
            <w:r>
              <w:rPr>
                <w:sz w:val="19"/>
                <w:szCs w:val="19"/>
              </w:rPr>
              <w:t xml:space="preserve">Mapping-Konzept</w:t>
            </w:r>
          </w:p>
        </w:tc>
        <w:tc>
          <w:tcPr>
            <w:tcW w:type="dxa" w:w="4100"/>
            <w:shd w:fill="EEF3FB" w:color="auto" w:val="clear"/>
            <w:tcMar>
              <w:top w:type="dxa" w:w="45"/>
              <w:left w:type="dxa" w:w="90"/>
              <w:bottom w:type="dxa" w:w="45"/>
              <w:right w:type="dxa" w:w="90"/>
            </w:tcMar>
          </w:tcPr>
          <w:p>
            <w:r>
              <w:rPr>
                <w:sz w:val="19"/>
                <w:szCs w:val="19"/>
              </w:rPr>
              <w:t xml:space="preserve">① Daten hinein: GDC-Schema → RDF/OWL</w:t>
            </w:r>
          </w:p>
        </w:tc>
        <w:tc>
          <w:tcPr>
            <w:tcW w:type="dxa" w:w="2700"/>
            <w:shd w:fill="EEF3FB" w:color="auto" w:val="clear"/>
            <w:tcMar>
              <w:top w:type="dxa" w:w="45"/>
              <w:left w:type="dxa" w:w="90"/>
              <w:bottom w:type="dxa" w:w="45"/>
              <w:right w:type="dxa" w:w="90"/>
            </w:tcMar>
          </w:tcPr>
          <w:p>
            <w:r>
              <w:rPr>
                <w:rFonts w:ascii="Consolas" w:cs="Consolas" w:eastAsia="Consolas" w:hAnsi="Consolas"/>
                <w:sz w:val="20"/>
                <w:szCs w:val="20"/>
              </w:rPr>
              <w:t xml:space="preserve">wissensnetz/Mapping-Konzept_GDC-zu-RDF-OWL</w:t>
            </w:r>
          </w:p>
        </w:tc>
      </w:tr>
      <w:tr>
        <w:tc>
          <w:tcPr>
            <w:tcW w:type="dxa" w:w="2500"/>
            <w:tcMar>
              <w:top w:type="dxa" w:w="45"/>
              <w:left w:type="dxa" w:w="90"/>
              <w:bottom w:type="dxa" w:w="45"/>
              <w:right w:type="dxa" w:w="90"/>
            </w:tcMar>
          </w:tcPr>
          <w:p>
            <w:r>
              <w:rPr>
                <w:sz w:val="19"/>
                <w:szCs w:val="19"/>
              </w:rPr>
              <w:t xml:space="preserve">Rückkanal-Konzept</w:t>
            </w:r>
          </w:p>
        </w:tc>
        <w:tc>
          <w:tcPr>
            <w:tcW w:type="dxa" w:w="4100"/>
            <w:tcMar>
              <w:top w:type="dxa" w:w="45"/>
              <w:left w:type="dxa" w:w="90"/>
              <w:bottom w:type="dxa" w:w="45"/>
              <w:right w:type="dxa" w:w="90"/>
            </w:tcMar>
          </w:tcPr>
          <w:p>
            <w:r>
              <w:rPr>
                <w:sz w:val="19"/>
                <w:szCs w:val="19"/>
              </w:rPr>
              <w:t xml:space="preserve">③ Wissen zurück: MP-Selektion → RDF</w:t>
            </w:r>
          </w:p>
        </w:tc>
        <w:tc>
          <w:tcPr>
            <w:tcW w:type="dxa" w:w="2700"/>
            <w:tcMar>
              <w:top w:type="dxa" w:w="45"/>
              <w:left w:type="dxa" w:w="90"/>
              <w:bottom w:type="dxa" w:w="45"/>
              <w:right w:type="dxa" w:w="90"/>
            </w:tcMar>
          </w:tcPr>
          <w:p>
            <w:r>
              <w:rPr>
                <w:rFonts w:ascii="Consolas" w:cs="Consolas" w:eastAsia="Consolas" w:hAnsi="Consolas"/>
                <w:sz w:val="20"/>
                <w:szCs w:val="20"/>
              </w:rPr>
              <w:t xml:space="preserve">wissensnetz/Rueckkanal-Konzept_MP-zu-RDF</w:t>
            </w:r>
          </w:p>
        </w:tc>
      </w:tr>
      <w:tr>
        <w:tc>
          <w:tcPr>
            <w:tcW w:type="dxa" w:w="2500"/>
            <w:shd w:fill="EEF3FB" w:color="auto" w:val="clear"/>
            <w:tcMar>
              <w:top w:type="dxa" w:w="45"/>
              <w:left w:type="dxa" w:w="90"/>
              <w:bottom w:type="dxa" w:w="45"/>
              <w:right w:type="dxa" w:w="90"/>
            </w:tcMar>
          </w:tcPr>
          <w:p>
            <w:r>
              <w:rPr>
                <w:sz w:val="19"/>
                <w:szCs w:val="19"/>
              </w:rPr>
              <w:t xml:space="preserve">ADR-0002</w:t>
            </w:r>
          </w:p>
        </w:tc>
        <w:tc>
          <w:tcPr>
            <w:tcW w:type="dxa" w:w="4100"/>
            <w:shd w:fill="EEF3FB" w:color="auto" w:val="clear"/>
            <w:tcMar>
              <w:top w:type="dxa" w:w="45"/>
              <w:left w:type="dxa" w:w="90"/>
              <w:bottom w:type="dxa" w:w="45"/>
              <w:right w:type="dxa" w:w="90"/>
            </w:tcMar>
          </w:tcPr>
          <w:p>
            <w:r>
              <w:rPr>
                <w:sz w:val="19"/>
                <w:szCs w:val="19"/>
              </w:rPr>
              <w:t xml:space="preserve">Entscheidung Graph-Modell (RDF/OWL)</w:t>
            </w:r>
          </w:p>
        </w:tc>
        <w:tc>
          <w:tcPr>
            <w:tcW w:type="dxa" w:w="2700"/>
            <w:shd w:fill="EEF3FB" w:color="auto" w:val="clear"/>
            <w:tcMar>
              <w:top w:type="dxa" w:w="45"/>
              <w:left w:type="dxa" w:w="90"/>
              <w:bottom w:type="dxa" w:w="45"/>
              <w:right w:type="dxa" w:w="90"/>
            </w:tcMar>
          </w:tcPr>
          <w:p>
            <w:r>
              <w:rPr>
                <w:rFonts w:ascii="Consolas" w:cs="Consolas" w:eastAsia="Consolas" w:hAnsi="Consolas"/>
                <w:sz w:val="20"/>
                <w:szCs w:val="20"/>
              </w:rPr>
              <w:t xml:space="preserve">docs/adr/0002-…</w:t>
            </w:r>
          </w:p>
        </w:tc>
      </w:tr>
      <w:tr>
        <w:tc>
          <w:tcPr>
            <w:tcW w:type="dxa" w:w="2500"/>
            <w:tcMar>
              <w:top w:type="dxa" w:w="45"/>
              <w:left w:type="dxa" w:w="90"/>
              <w:bottom w:type="dxa" w:w="45"/>
              <w:right w:type="dxa" w:w="90"/>
            </w:tcMar>
          </w:tcPr>
          <w:p>
            <w:r>
              <w:rPr>
                <w:sz w:val="19"/>
                <w:szCs w:val="19"/>
              </w:rPr>
              <w:t xml:space="preserve">ADR-0001</w:t>
            </w:r>
          </w:p>
        </w:tc>
        <w:tc>
          <w:tcPr>
            <w:tcW w:type="dxa" w:w="4100"/>
            <w:tcMar>
              <w:top w:type="dxa" w:w="45"/>
              <w:left w:type="dxa" w:w="90"/>
              <w:bottom w:type="dxa" w:w="45"/>
              <w:right w:type="dxa" w:w="90"/>
            </w:tcMar>
          </w:tcPr>
          <w:p>
            <w:r>
              <w:rPr>
                <w:sz w:val="19"/>
                <w:szCs w:val="19"/>
              </w:rPr>
              <w:t xml:space="preserve">Wrapper als Python-Package</w:t>
            </w:r>
          </w:p>
        </w:tc>
        <w:tc>
          <w:tcPr>
            <w:tcW w:type="dxa" w:w="2700"/>
            <w:tcMar>
              <w:top w:type="dxa" w:w="45"/>
              <w:left w:type="dxa" w:w="90"/>
              <w:bottom w:type="dxa" w:w="45"/>
              <w:right w:type="dxa" w:w="90"/>
            </w:tcMar>
          </w:tcPr>
          <w:p>
            <w:r>
              <w:rPr>
                <w:rFonts w:ascii="Consolas" w:cs="Consolas" w:eastAsia="Consolas" w:hAnsi="Consolas"/>
                <w:sz w:val="20"/>
                <w:szCs w:val="20"/>
              </w:rPr>
              <w:t xml:space="preserve">docs/adr/0001-…</w:t>
            </w:r>
          </w:p>
        </w:tc>
      </w:tr>
      <w:tr>
        <w:tc>
          <w:tcPr>
            <w:tcW w:type="dxa" w:w="2500"/>
            <w:shd w:fill="EEF3FB" w:color="auto" w:val="clear"/>
            <w:tcMar>
              <w:top w:type="dxa" w:w="45"/>
              <w:left w:type="dxa" w:w="90"/>
              <w:bottom w:type="dxa" w:w="45"/>
              <w:right w:type="dxa" w:w="90"/>
            </w:tcMar>
          </w:tcPr>
          <w:p>
            <w:r>
              <w:rPr>
                <w:sz w:val="19"/>
                <w:szCs w:val="19"/>
              </w:rPr>
              <w:t xml:space="preserve">Literaturrecherche</w:t>
            </w:r>
          </w:p>
        </w:tc>
        <w:tc>
          <w:tcPr>
            <w:tcW w:type="dxa" w:w="4100"/>
            <w:shd w:fill="EEF3FB" w:color="auto" w:val="clear"/>
            <w:tcMar>
              <w:top w:type="dxa" w:w="45"/>
              <w:left w:type="dxa" w:w="90"/>
              <w:bottom w:type="dxa" w:w="45"/>
              <w:right w:type="dxa" w:w="90"/>
            </w:tcMar>
          </w:tcPr>
          <w:p>
            <w:r>
              <w:rPr>
                <w:sz w:val="19"/>
                <w:szCs w:val="19"/>
              </w:rPr>
              <w:t xml:space="preserve">Ontologien, RDF vs. Property Graph</w:t>
            </w:r>
          </w:p>
        </w:tc>
        <w:tc>
          <w:tcPr>
            <w:tcW w:type="dxa" w:w="2700"/>
            <w:shd w:fill="EEF3FB" w:color="auto" w:val="clear"/>
            <w:tcMar>
              <w:top w:type="dxa" w:w="45"/>
              <w:left w:type="dxa" w:w="90"/>
              <w:bottom w:type="dxa" w:w="45"/>
              <w:right w:type="dxa" w:w="90"/>
            </w:tcMar>
          </w:tcPr>
          <w:p>
            <w:r>
              <w:rPr>
                <w:rFonts w:ascii="Consolas" w:cs="Consolas" w:eastAsia="Consolas" w:hAnsi="Consolas"/>
                <w:sz w:val="20"/>
                <w:szCs w:val="20"/>
              </w:rPr>
              <w:t xml:space="preserve">recherche/…</w:t>
            </w:r>
          </w:p>
        </w:tc>
      </w:tr>
      <w:tr>
        <w:tc>
          <w:tcPr>
            <w:tcW w:type="dxa" w:w="2500"/>
            <w:tcMar>
              <w:top w:type="dxa" w:w="45"/>
              <w:left w:type="dxa" w:w="90"/>
              <w:bottom w:type="dxa" w:w="45"/>
              <w:right w:type="dxa" w:w="90"/>
            </w:tcMar>
          </w:tcPr>
          <w:p>
            <w:r>
              <w:rPr>
                <w:sz w:val="19"/>
                <w:szCs w:val="19"/>
              </w:rPr>
              <w:t xml:space="preserve">dieses Dokument</w:t>
            </w:r>
          </w:p>
        </w:tc>
        <w:tc>
          <w:tcPr>
            <w:tcW w:type="dxa" w:w="4100"/>
            <w:tcMar>
              <w:top w:type="dxa" w:w="45"/>
              <w:left w:type="dxa" w:w="90"/>
              <w:bottom w:type="dxa" w:w="45"/>
              <w:right w:type="dxa" w:w="90"/>
            </w:tcMar>
          </w:tcPr>
          <w:p>
            <w:r>
              <w:rPr>
                <w:sz w:val="19"/>
                <w:szCs w:val="19"/>
              </w:rPr>
              <w:t xml:space="preserve">Gesamtüberblick fürs Team</w:t>
            </w:r>
          </w:p>
        </w:tc>
        <w:tc>
          <w:tcPr>
            <w:tcW w:type="dxa" w:w="2700"/>
            <w:tcMar>
              <w:top w:type="dxa" w:w="45"/>
              <w:left w:type="dxa" w:w="90"/>
              <w:bottom w:type="dxa" w:w="45"/>
              <w:right w:type="dxa" w:w="90"/>
            </w:tcMar>
          </w:tcPr>
          <w:p>
            <w:r>
              <w:rPr>
                <w:rFonts w:ascii="Consolas" w:cs="Consolas" w:eastAsia="Consolas" w:hAnsi="Consolas"/>
                <w:sz w:val="20"/>
                <w:szCs w:val="20"/>
              </w:rPr>
              <w:t xml:space="preserve">wissensnetz/Wissensnetz_Gesamtueberblick</w:t>
            </w:r>
          </w:p>
        </w:tc>
      </w:tr>
    </w:tbl>
    <w:p>
      <w:pPr>
        <w:pStyle w:val="Heading1"/>
        <w:spacing w:after="120" w:before="300"/>
      </w:pPr>
      <w:r>
        <w:rPr>
          <w:b/>
          <w:bCs/>
          <w:color w:val="1F3864"/>
          <w:sz w:val="30"/>
          <w:szCs w:val="30"/>
        </w:rPr>
        <w:t xml:space="preserve">9  Nächste Schritte</w:t>
      </w:r>
    </w:p>
    <w:p>
      <w:pPr>
        <w:pStyle w:val="ListParagraph"/>
        <w:numPr>
          <w:ilvl w:val="0"/>
          <w:numId w:val="1"/>
        </w:numPr>
        <w:spacing w:after="80" w:line="276"/>
      </w:pPr>
      <w:r>
        <w:rPr>
          <w:b/>
          <w:bCs/>
          <w:sz w:val="22"/>
          <w:szCs w:val="22"/>
        </w:rPr>
        <w:t xml:space="preserve">Übergabeformat mit dem API-Teil fixieren.</w:t>
      </w:r>
    </w:p>
    <w:p>
      <w:pPr>
        <w:pStyle w:val="ListParagraph"/>
        <w:numPr>
          <w:ilvl w:val="0"/>
          <w:numId w:val="1"/>
        </w:numPr>
        <w:spacing w:after="80" w:line="276"/>
      </w:pPr>
      <w:r>
        <w:rPr>
          <w:b/>
          <w:bCs/>
          <w:sz w:val="22"/>
          <w:szCs w:val="22"/>
        </w:rPr>
        <w:t xml:space="preserve">Proof-of-Concept: </w:t>
      </w:r>
      <w:r>
        <w:rPr>
          <w:sz w:val="22"/>
          <w:szCs w:val="22"/>
        </w:rPr>
        <w:t xml:space="preserve">Fuseki starten, einen GDC-Node (z. B. </w:t>
      </w:r>
      <w:r>
        <w:rPr>
          <w:rFonts w:ascii="Consolas" w:cs="Consolas" w:eastAsia="Consolas" w:hAnsi="Consolas"/>
          <w:sz w:val="20"/>
          <w:szCs w:val="20"/>
        </w:rPr>
        <w:t xml:space="preserve">diagnosis</w:t>
      </w:r>
      <w:r>
        <w:rPr>
          <w:sz w:val="22"/>
          <w:szCs w:val="22"/>
        </w:rPr>
        <w:t xml:space="preserve">) nach RDF mappen und laden, per SPARQL eine Hierarchie abfragen, ein simuliertes MP-Selektions-Event zurückschreiben – alle drei Richtungen an einem Beispiel.</w:t>
      </w:r>
    </w:p>
    <w:p>
      <w:pPr>
        <w:pStyle w:val="ListParagraph"/>
        <w:numPr>
          <w:ilvl w:val="0"/>
          <w:numId w:val="1"/>
        </w:numPr>
        <w:spacing w:after="80" w:line="276"/>
      </w:pPr>
      <w:r>
        <w:rPr>
          <w:b/>
          <w:bCs/>
          <w:sz w:val="22"/>
          <w:szCs w:val="22"/>
        </w:rPr>
        <w:t xml:space="preserve">Alignment-Tabelle </w:t>
      </w:r>
      <w:r>
        <w:rPr>
          <w:sz w:val="22"/>
          <w:szCs w:val="22"/>
        </w:rPr>
        <w:t xml:space="preserve">für die wichtigsten enum-Felder gegen NCIt/DO beginnen.</w:t>
      </w:r>
    </w:p>
    <w:p>
      <w:pPr>
        <w:pStyle w:val="Heading1"/>
        <w:spacing w:after="120" w:before="300"/>
      </w:pPr>
      <w:r>
        <w:rPr>
          <w:b/>
          <w:bCs/>
          <w:color w:val="1F3864"/>
          <w:sz w:val="30"/>
          <w:szCs w:val="30"/>
        </w:rPr>
        <w:t xml:space="preserve">10  Glossar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1F3864" w:color="auto" w:val="clear"/>
            <w:tcMar>
              <w:top w:type="dxa" w:w="55"/>
              <w:left w:type="dxa" w:w="90"/>
              <w:bottom w:type="dxa" w:w="55"/>
              <w:right w:type="dxa" w:w="90"/>
            </w:tcMar>
          </w:tcPr>
          <w:p>
            <w:r>
              <w:rPr>
                <w:b/>
                <w:bCs/>
                <w:color w:val="FFFFFF"/>
                <w:sz w:val="19"/>
                <w:szCs w:val="19"/>
              </w:rPr>
              <w:t xml:space="preserve">Begriff</w:t>
            </w:r>
          </w:p>
        </w:tc>
        <w:tc>
          <w:tcPr>
            <w:tcW w:type="dxa" w:w="6800"/>
            <w:shd w:fill="1F3864" w:color="auto" w:val="clear"/>
            <w:tcMar>
              <w:top w:type="dxa" w:w="55"/>
              <w:left w:type="dxa" w:w="90"/>
              <w:bottom w:type="dxa" w:w="55"/>
              <w:right w:type="dxa" w:w="90"/>
            </w:tcMar>
          </w:tcPr>
          <w:p>
            <w:r>
              <w:rPr>
                <w:b/>
                <w:bCs/>
                <w:color w:val="FFFFFF"/>
                <w:sz w:val="19"/>
                <w:szCs w:val="19"/>
              </w:rPr>
              <w:t xml:space="preserve">Kurz erklärt</w:t>
            </w:r>
          </w:p>
        </w:tc>
      </w:tr>
      <w:tr>
        <w:tc>
          <w:tcPr>
            <w:tcW w:type="dxa" w:w="2500"/>
            <w:tcMar>
              <w:top w:type="dxa" w:w="45"/>
              <w:left w:type="dxa" w:w="90"/>
              <w:bottom w:type="dxa" w:w="45"/>
              <w:right w:type="dxa" w:w="90"/>
            </w:tcMar>
          </w:tcPr>
          <w:p>
            <w:r>
              <w:rPr>
                <w:b/>
                <w:bCs/>
                <w:sz w:val="19"/>
                <w:szCs w:val="19"/>
              </w:rPr>
              <w:t xml:space="preserve">RDF</w:t>
            </w:r>
          </w:p>
        </w:tc>
        <w:tc>
          <w:tcPr>
            <w:tcW w:type="dxa" w:w="6800"/>
            <w:tcMar>
              <w:top w:type="dxa" w:w="45"/>
              <w:left w:type="dxa" w:w="90"/>
              <w:bottom w:type="dxa" w:w="45"/>
              <w:right w:type="dxa" w:w="90"/>
            </w:tcMar>
          </w:tcPr>
          <w:p>
            <w:r>
              <w:rPr>
                <w:sz w:val="19"/>
                <w:szCs w:val="19"/>
              </w:rPr>
              <w:t xml:space="preserve">Datenmodell aus Tripeln Subjekt–Prädikat–Objekt; Basis des Wissensnetzes.</w:t>
            </w:r>
          </w:p>
        </w:tc>
      </w:tr>
      <w:tr>
        <w:tc>
          <w:tcPr>
            <w:tcW w:type="dxa" w:w="2500"/>
            <w:shd w:fill="EEF3FB" w:color="auto" w:val="clear"/>
            <w:tcMar>
              <w:top w:type="dxa" w:w="45"/>
              <w:left w:type="dxa" w:w="90"/>
              <w:bottom w:type="dxa" w:w="45"/>
              <w:right w:type="dxa" w:w="90"/>
            </w:tcMar>
          </w:tcPr>
          <w:p>
            <w:r>
              <w:rPr>
                <w:b/>
                <w:bCs/>
                <w:sz w:val="19"/>
                <w:szCs w:val="19"/>
              </w:rPr>
              <w:t xml:space="preserve">OWL</w:t>
            </w:r>
          </w:p>
        </w:tc>
        <w:tc>
          <w:tcPr>
            <w:tcW w:type="dxa" w:w="6800"/>
            <w:shd w:fill="EEF3FB" w:color="auto" w:val="clear"/>
            <w:tcMar>
              <w:top w:type="dxa" w:w="45"/>
              <w:left w:type="dxa" w:w="90"/>
              <w:bottom w:type="dxa" w:w="45"/>
              <w:right w:type="dxa" w:w="90"/>
            </w:tcMar>
          </w:tcPr>
          <w:p>
            <w:r>
              <w:rPr>
                <w:sz w:val="19"/>
                <w:szCs w:val="19"/>
              </w:rPr>
              <w:t xml:space="preserve">Ontologie-Sprache auf RDF; erlaubt Klassen, Axiome und Reasoning.</w:t>
            </w:r>
          </w:p>
        </w:tc>
      </w:tr>
      <w:tr>
        <w:tc>
          <w:tcPr>
            <w:tcW w:type="dxa" w:w="2500"/>
            <w:tcMar>
              <w:top w:type="dxa" w:w="45"/>
              <w:left w:type="dxa" w:w="90"/>
              <w:bottom w:type="dxa" w:w="45"/>
              <w:right w:type="dxa" w:w="90"/>
            </w:tcMar>
          </w:tcPr>
          <w:p>
            <w:r>
              <w:rPr>
                <w:b/>
                <w:bCs/>
                <w:sz w:val="19"/>
                <w:szCs w:val="19"/>
              </w:rPr>
              <w:t xml:space="preserve">Ontologie</w:t>
            </w:r>
          </w:p>
        </w:tc>
        <w:tc>
          <w:tcPr>
            <w:tcW w:type="dxa" w:w="6800"/>
            <w:tcMar>
              <w:top w:type="dxa" w:w="45"/>
              <w:left w:type="dxa" w:w="90"/>
              <w:bottom w:type="dxa" w:w="45"/>
              <w:right w:type="dxa" w:w="90"/>
            </w:tcMar>
          </w:tcPr>
          <w:p>
            <w:r>
              <w:rPr>
                <w:sz w:val="19"/>
                <w:szCs w:val="19"/>
              </w:rPr>
              <w:t xml:space="preserve">Formales Vokabular: Konzepte und ihre Beziehungen eines Fachgebiets.</w:t>
            </w:r>
          </w:p>
        </w:tc>
      </w:tr>
      <w:tr>
        <w:tc>
          <w:tcPr>
            <w:tcW w:type="dxa" w:w="2500"/>
            <w:shd w:fill="EEF3FB" w:color="auto" w:val="clear"/>
            <w:tcMar>
              <w:top w:type="dxa" w:w="45"/>
              <w:left w:type="dxa" w:w="90"/>
              <w:bottom w:type="dxa" w:w="45"/>
              <w:right w:type="dxa" w:w="90"/>
            </w:tcMar>
          </w:tcPr>
          <w:p>
            <w:r>
              <w:rPr>
                <w:b/>
                <w:bCs/>
                <w:sz w:val="19"/>
                <w:szCs w:val="19"/>
              </w:rPr>
              <w:t xml:space="preserve">TBox / ABox</w:t>
            </w:r>
          </w:p>
        </w:tc>
        <w:tc>
          <w:tcPr>
            <w:tcW w:type="dxa" w:w="6800"/>
            <w:shd w:fill="EEF3FB" w:color="auto" w:val="clear"/>
            <w:tcMar>
              <w:top w:type="dxa" w:w="45"/>
              <w:left w:type="dxa" w:w="90"/>
              <w:bottom w:type="dxa" w:w="45"/>
              <w:right w:type="dxa" w:w="90"/>
            </w:tcMar>
          </w:tcPr>
          <w:p>
            <w:r>
              <w:rPr>
                <w:sz w:val="19"/>
                <w:szCs w:val="19"/>
              </w:rPr>
              <w:t xml:space="preserve">Schema-Ebene (Klassen/Regeln) vs. Fakten-Ebene (konkrete Instanzen).</w:t>
            </w:r>
          </w:p>
        </w:tc>
      </w:tr>
      <w:tr>
        <w:tc>
          <w:tcPr>
            <w:tcW w:type="dxa" w:w="2500"/>
            <w:tcMar>
              <w:top w:type="dxa" w:w="45"/>
              <w:left w:type="dxa" w:w="90"/>
              <w:bottom w:type="dxa" w:w="45"/>
              <w:right w:type="dxa" w:w="90"/>
            </w:tcMar>
          </w:tcPr>
          <w:p>
            <w:r>
              <w:rPr>
                <w:b/>
                <w:bCs/>
                <w:sz w:val="19"/>
                <w:szCs w:val="19"/>
              </w:rPr>
              <w:t xml:space="preserve">Triple-Store</w:t>
            </w:r>
          </w:p>
        </w:tc>
        <w:tc>
          <w:tcPr>
            <w:tcW w:type="dxa" w:w="6800"/>
            <w:tcMar>
              <w:top w:type="dxa" w:w="45"/>
              <w:left w:type="dxa" w:w="90"/>
              <w:bottom w:type="dxa" w:w="45"/>
              <w:right w:type="dxa" w:w="90"/>
            </w:tcMar>
          </w:tcPr>
          <w:p>
            <w:r>
              <w:rPr>
                <w:sz w:val="19"/>
                <w:szCs w:val="19"/>
              </w:rPr>
              <w:t xml:space="preserve">Datenbank für RDF-Tripel (hier: Apache Jena/Fuseki).</w:t>
            </w:r>
          </w:p>
        </w:tc>
      </w:tr>
      <w:tr>
        <w:tc>
          <w:tcPr>
            <w:tcW w:type="dxa" w:w="2500"/>
            <w:shd w:fill="EEF3FB" w:color="auto" w:val="clear"/>
            <w:tcMar>
              <w:top w:type="dxa" w:w="45"/>
              <w:left w:type="dxa" w:w="90"/>
              <w:bottom w:type="dxa" w:w="45"/>
              <w:right w:type="dxa" w:w="90"/>
            </w:tcMar>
          </w:tcPr>
          <w:p>
            <w:r>
              <w:rPr>
                <w:b/>
                <w:bCs/>
                <w:sz w:val="19"/>
                <w:szCs w:val="19"/>
              </w:rPr>
              <w:t xml:space="preserve">SPARQL</w:t>
            </w:r>
          </w:p>
        </w:tc>
        <w:tc>
          <w:tcPr>
            <w:tcW w:type="dxa" w:w="6800"/>
            <w:shd w:fill="EEF3FB" w:color="auto" w:val="clear"/>
            <w:tcMar>
              <w:top w:type="dxa" w:w="45"/>
              <w:left w:type="dxa" w:w="90"/>
              <w:bottom w:type="dxa" w:w="45"/>
              <w:right w:type="dxa" w:w="90"/>
            </w:tcMar>
          </w:tcPr>
          <w:p>
            <w:r>
              <w:rPr>
                <w:sz w:val="19"/>
                <w:szCs w:val="19"/>
              </w:rPr>
              <w:t xml:space="preserve">Abfragesprache für RDF; sucht Graphmuster, kann Pfade/Hierarchien traversieren.</w:t>
            </w:r>
          </w:p>
        </w:tc>
      </w:tr>
      <w:tr>
        <w:tc>
          <w:tcPr>
            <w:tcW w:type="dxa" w:w="2500"/>
            <w:tcMar>
              <w:top w:type="dxa" w:w="45"/>
              <w:left w:type="dxa" w:w="90"/>
              <w:bottom w:type="dxa" w:w="45"/>
              <w:right w:type="dxa" w:w="90"/>
            </w:tcMar>
          </w:tcPr>
          <w:p>
            <w:r>
              <w:rPr>
                <w:b/>
                <w:bCs/>
                <w:sz w:val="19"/>
                <w:szCs w:val="19"/>
              </w:rPr>
              <w:t xml:space="preserve">RDF-star</w:t>
            </w:r>
          </w:p>
        </w:tc>
        <w:tc>
          <w:tcPr>
            <w:tcW w:type="dxa" w:w="6800"/>
            <w:tcMar>
              <w:top w:type="dxa" w:w="45"/>
              <w:left w:type="dxa" w:w="90"/>
              <w:bottom w:type="dxa" w:w="45"/>
              <w:right w:type="dxa" w:w="90"/>
            </w:tcMar>
          </w:tcPr>
          <w:p>
            <w:r>
              <w:rPr>
                <w:sz w:val="19"/>
                <w:szCs w:val="19"/>
              </w:rPr>
              <w:t xml:space="preserve">RDF-Erweiterung: Aussagen über Aussagen (z. B. Provenienz an einer Kante).</w:t>
            </w:r>
          </w:p>
        </w:tc>
      </w:tr>
      <w:tr>
        <w:tc>
          <w:tcPr>
            <w:tcW w:type="dxa" w:w="2500"/>
            <w:shd w:fill="EEF3FB" w:color="auto" w:val="clear"/>
            <w:tcMar>
              <w:top w:type="dxa" w:w="45"/>
              <w:left w:type="dxa" w:w="90"/>
              <w:bottom w:type="dxa" w:w="45"/>
              <w:right w:type="dxa" w:w="90"/>
            </w:tcMar>
          </w:tcPr>
          <w:p>
            <w:r>
              <w:rPr>
                <w:b/>
                <w:bCs/>
                <w:sz w:val="19"/>
                <w:szCs w:val="19"/>
              </w:rPr>
              <w:t xml:space="preserve">Semantic ETL</w:t>
            </w:r>
          </w:p>
        </w:tc>
        <w:tc>
          <w:tcPr>
            <w:tcW w:type="dxa" w:w="6800"/>
            <w:shd w:fill="EEF3FB" w:color="auto" w:val="clear"/>
            <w:tcMar>
              <w:top w:type="dxa" w:w="45"/>
              <w:left w:type="dxa" w:w="90"/>
              <w:bottom w:type="dxa" w:w="45"/>
              <w:right w:type="dxa" w:w="90"/>
            </w:tcMar>
          </w:tcPr>
          <w:p>
            <w:r>
              <w:rPr>
                <w:sz w:val="19"/>
                <w:szCs w:val="19"/>
              </w:rPr>
              <w:t xml:space="preserve">Extract-Transform-Load, das Rohdaten in ein semantisches Modell überführt.</w:t>
            </w:r>
          </w:p>
        </w:tc>
      </w:tr>
      <w:tr>
        <w:tc>
          <w:tcPr>
            <w:tcW w:type="dxa" w:w="2500"/>
            <w:tcMar>
              <w:top w:type="dxa" w:w="45"/>
              <w:left w:type="dxa" w:w="90"/>
              <w:bottom w:type="dxa" w:w="45"/>
              <w:right w:type="dxa" w:w="90"/>
            </w:tcMar>
          </w:tcPr>
          <w:p>
            <w:r>
              <w:rPr>
                <w:b/>
                <w:bCs/>
                <w:sz w:val="19"/>
                <w:szCs w:val="19"/>
              </w:rPr>
              <w:t xml:space="preserve">anndata</w:t>
            </w:r>
          </w:p>
        </w:tc>
        <w:tc>
          <w:tcPr>
            <w:tcW w:type="dxa" w:w="6800"/>
            <w:tcMar>
              <w:top w:type="dxa" w:w="45"/>
              <w:left w:type="dxa" w:w="90"/>
              <w:bottom w:type="dxa" w:w="45"/>
              <w:right w:type="dxa" w:w="90"/>
            </w:tcMar>
          </w:tcPr>
          <w:p>
            <w:r>
              <w:rPr>
                <w:sz w:val="19"/>
                <w:szCs w:val="19"/>
              </w:rPr>
              <w:t xml:space="preserve">Effizientes Format für Genexpressionsmatrizen (mit Scanpy nutzbar).</w:t>
            </w:r>
          </w:p>
        </w:tc>
      </w:tr>
      <w:tr>
        <w:tc>
          <w:tcPr>
            <w:tcW w:type="dxa" w:w="2500"/>
            <w:shd w:fill="EEF3FB" w:color="auto" w:val="clear"/>
            <w:tcMar>
              <w:top w:type="dxa" w:w="45"/>
              <w:left w:type="dxa" w:w="90"/>
              <w:bottom w:type="dxa" w:w="45"/>
              <w:right w:type="dxa" w:w="90"/>
            </w:tcMar>
          </w:tcPr>
          <w:p>
            <w:r>
              <w:rPr>
                <w:b/>
                <w:bCs/>
                <w:sz w:val="19"/>
                <w:szCs w:val="19"/>
              </w:rPr>
              <w:t xml:space="preserve">Morphing Projections</w:t>
            </w:r>
          </w:p>
        </w:tc>
        <w:tc>
          <w:tcPr>
            <w:tcW w:type="dxa" w:w="6800"/>
            <w:shd w:fill="EEF3FB" w:color="auto" w:val="clear"/>
            <w:tcMar>
              <w:top w:type="dxa" w:w="45"/>
              <w:left w:type="dxa" w:w="90"/>
              <w:bottom w:type="dxa" w:w="45"/>
              <w:right w:type="dxa" w:w="90"/>
            </w:tcMar>
          </w:tcPr>
          <w:p>
            <w:r>
              <w:rPr>
                <w:sz w:val="19"/>
                <w:szCs w:val="19"/>
              </w:rPr>
              <w:t xml:space="preserve">Oviedos Visualisierungstechnik; ordnet Proben an und morpht zwischen Sichten.</w:t>
            </w:r>
          </w:p>
        </w:tc>
      </w:tr>
    </w:tbl>
    <w:p>
      <w:pPr>
        <w:pStyle w:val="Heading1"/>
        <w:spacing w:after="120" w:before="300"/>
      </w:pPr>
      <w:r>
        <w:rPr>
          <w:b/>
          <w:bCs/>
          <w:color w:val="1F3864"/>
          <w:sz w:val="30"/>
          <w:szCs w:val="30"/>
        </w:rPr>
        <w:t xml:space="preserve">Quellen</w:t>
      </w:r>
    </w:p>
    <w:p>
      <w:pPr>
        <w:pStyle w:val="ListParagraph"/>
        <w:numPr>
          <w:ilvl w:val="0"/>
          <w:numId w:val="1"/>
        </w:numPr>
        <w:spacing w:after="70"/>
      </w:pPr>
      <w:hyperlink w:history="1" r:id="rIdjfwek14sbrq6kv8meqimj">
        <w:r>
          <w:rPr>
            <w:color w:val="2E74B5"/>
            <w:sz w:val="22"/>
            <w:szCs w:val="22"/>
            <w:u w:val="single"/>
          </w:rPr>
          <w:t xml:space="preserve">Apache Jena – Dokumentation (TDB2, Fuseki, RDF-star)</w:t>
        </w:r>
      </w:hyperlink>
    </w:p>
    <w:p>
      <w:pPr>
        <w:pStyle w:val="ListParagraph"/>
        <w:numPr>
          <w:ilvl w:val="0"/>
          <w:numId w:val="1"/>
        </w:numPr>
        <w:spacing w:after="70"/>
      </w:pPr>
      <w:hyperlink w:history="1" r:id="rIdrd4rzaohquoie1xnydhov">
        <w:r>
          <w:rPr>
            <w:color w:val="2E74B5"/>
            <w:sz w:val="22"/>
            <w:szCs w:val="22"/>
            <w:u w:val="single"/>
          </w:rPr>
          <w:t xml:space="preserve">W3C – SPARQL 1.2 Query Language</w:t>
        </w:r>
      </w:hyperlink>
    </w:p>
    <w:p>
      <w:pPr>
        <w:pStyle w:val="ListParagraph"/>
        <w:numPr>
          <w:ilvl w:val="0"/>
          <w:numId w:val="1"/>
        </w:numPr>
        <w:spacing w:after="70"/>
      </w:pPr>
      <w:hyperlink w:history="1" r:id="rIdyqdvdtpoozbkl-hxuovqz">
        <w:r>
          <w:rPr>
            <w:color w:val="2E74B5"/>
            <w:sz w:val="22"/>
            <w:szCs w:val="22"/>
            <w:u w:val="single"/>
          </w:rPr>
          <w:t xml:space="preserve">OBO Foundry – biomedizinische Ontologien</w:t>
        </w:r>
      </w:hyperlink>
    </w:p>
    <w:p>
      <w:pPr>
        <w:pStyle w:val="ListParagraph"/>
        <w:numPr>
          <w:ilvl w:val="0"/>
          <w:numId w:val="1"/>
        </w:numPr>
        <w:spacing w:after="70"/>
      </w:pPr>
      <w:hyperlink w:history="1" r:id="rIdydhyj8peq5g313woj1yze">
        <w:r>
          <w:rPr>
            <w:color w:val="2E74B5"/>
            <w:sz w:val="22"/>
            <w:szCs w:val="22"/>
            <w:u w:val="single"/>
          </w:rPr>
          <w:t xml:space="preserve">Díaz et al. – Morphing projections (Bioinformatics 2021)</w:t>
        </w:r>
      </w:hyperlink>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fwek14sbrq6kv8meqimj" Type="http://schemas.openxmlformats.org/officeDocument/2006/relationships/hyperlink" Target="https://jena.apache.org/documentation/" TargetMode="External"/><Relationship Id="rIdrd4rzaohquoie1xnydhov" Type="http://schemas.openxmlformats.org/officeDocument/2006/relationships/hyperlink" Target="https://www.w3.org/TR/sparql12-query/" TargetMode="External"/><Relationship Id="rIdyqdvdtpoozbkl-hxuovqz" Type="http://schemas.openxmlformats.org/officeDocument/2006/relationships/hyperlink" Target="https://obofoundry.org" TargetMode="External"/><Relationship Id="rIdydhyj8peq5g313woj1yze" Type="http://schemas.openxmlformats.org/officeDocument/2006/relationships/hyperlink" Target="https://doi.org/10.1093/bioinformatics/btaa989" TargetMode="External"/><Relationship Id="rId7" Type="http://schemas.openxmlformats.org/officeDocument/2006/relationships/image" Target="media/daf4aa3d26061b22512fcfd89f429e9197b1cc6d.png"/><Relationship Id="rId8" Type="http://schemas.openxmlformats.org/officeDocument/2006/relationships/image" Target="media/6b8aef289a4f4fbba50b389ee92fe4dffd4b5d7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Wissensnetz – Gesamtüberblick</dc:title>
  <dc:creator>DataBridge / Marcel Thiel</dc:creator>
  <cp:lastModifiedBy>Un-named</cp:lastModifiedBy>
  <cp:revision>1</cp:revision>
  <dcterms:created xsi:type="dcterms:W3CDTF">2026-08-20T15:27:03.197Z</dcterms:created>
  <dcterms:modified xsi:type="dcterms:W3CDTF">2026-08-20T15:27:03.208Z</dcterms:modified>
</cp:coreProperties>
</file>

<file path=docProps/custom.xml><?xml version="1.0" encoding="utf-8"?>
<Properties xmlns="http://schemas.openxmlformats.org/officeDocument/2006/custom-properties" xmlns:vt="http://schemas.openxmlformats.org/officeDocument/2006/docPropsVTypes"/>
</file>