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595959"/>
          <w:sz w:val="20"/>
          <w:szCs w:val="20"/>
        </w:rPr>
        <w:t xml:space="preserve">MAPPING-KONZEPT · ENTWURF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GDC-Schema → RDF/OWL</w:t>
      </w:r>
    </w:p>
    <w:p>
      <w:pPr>
        <w:spacing w:after="60"/>
      </w:pPr>
      <w:r>
        <w:rPr>
          <w:color w:val="2E74B5"/>
          <w:sz w:val="24"/>
          <w:szCs w:val="24"/>
        </w:rPr>
        <w:t xml:space="preserve">Semantic ETL des Wissensnetzes: vom flachen Dictionary zum semantischen Graph</w:t>
      </w:r>
    </w:p>
    <w:p>
      <w:pPr>
        <w:pBdr>
          <w:bottom w:val="single" w:color="2E74B5" w:sz="12" w:space="6"/>
        </w:pBdr>
        <w:spacing w:after="150"/>
      </w:pPr>
      <w:r>
        <w:rPr>
          <w:color w:val="595959"/>
          <w:sz w:val="20"/>
          <w:szCs w:val="20"/>
        </w:rPr>
        <w:t xml:space="preserve">Projekt DataBridge · 26ss_CB_DataBridge · Teilbereich Wissensnetz (Marcel Thiel)</w:t>
      </w:r>
    </w:p>
    <w:p>
      <w:pPr>
        <w:spacing w:after="130" w:line="280"/>
      </w:pPr>
      <w:r>
        <w:rPr>
          <w:b/>
          <w:bCs/>
          <w:sz w:val="22"/>
          <w:szCs w:val="22"/>
        </w:rPr>
        <w:t xml:space="preserve">Status: </w:t>
      </w:r>
      <w:r>
        <w:rPr>
          <w:b/>
          <w:bCs/>
          <w:color w:val="2E7D32"/>
          <w:sz w:val="22"/>
          <w:szCs w:val="22"/>
        </w:rPr>
        <w:t xml:space="preserve">Entwurf v0.1</w:t>
      </w:r>
      <w:r>
        <w:rPr>
          <w:color w:val="595959"/>
          <w:sz w:val="22"/>
          <w:szCs w:val="22"/>
        </w:rPr>
        <w:t xml:space="preserve">     ·     </w:t>
      </w:r>
      <w:r>
        <w:rPr>
          <w:b/>
          <w:bCs/>
          <w:sz w:val="22"/>
          <w:szCs w:val="22"/>
        </w:rPr>
        <w:t xml:space="preserve">Stand: </w:t>
      </w:r>
      <w:r>
        <w:rPr>
          <w:sz w:val="22"/>
          <w:szCs w:val="22"/>
        </w:rPr>
        <w:t xml:space="preserve">20.08.2026</w:t>
      </w:r>
    </w:p>
    <w:p>
      <w:pPr>
        <w:spacing w:after="130" w:line="280"/>
      </w:pPr>
      <w:r>
        <w:rPr>
          <w:sz w:val="22"/>
          <w:szCs w:val="22"/>
        </w:rPr>
        <w:t xml:space="preserve">Dieses Dokument konkretisiert den ETL-Baustein aus dem Wissensnetz-Konzept: Wie werden die flachen GDC-Metadaten regelbasiert in ein RDF/OWL-Wissensnetz überführt? Es beschreibt den ETL-Ablauf, die Mapping-Regeln (Konstrukt für Konstrukt), ein durchgerechnetes Beispiel und die noch offenen Designentscheidungen.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1  Ausgangslage: das GDC-Datenmodell</w:t>
      </w:r>
    </w:p>
    <w:p>
      <w:pPr>
        <w:spacing w:after="130" w:line="280"/>
      </w:pPr>
      <w:r>
        <w:rPr>
          <w:sz w:val="22"/>
          <w:szCs w:val="22"/>
        </w:rPr>
        <w:t xml:space="preserve">Die Genomic Data Commons beschreibt ihr Datenmodell nicht in OWL, sondern als </w:t>
      </w:r>
      <w:r>
        <w:rPr>
          <w:b/>
          <w:bCs/>
          <w:sz w:val="22"/>
          <w:szCs w:val="22"/>
        </w:rPr>
        <w:t xml:space="preserve">Sammlung flacher YAML-/JSON-Schema-Dictionaries</w:t>
      </w:r>
      <w:r>
        <w:rPr>
          <w:sz w:val="22"/>
          <w:szCs w:val="22"/>
        </w:rPr>
        <w:t xml:space="preserve">. Jede Entität („node“, z. B. </w:t>
      </w:r>
      <w:r>
        <w:rPr>
          <w:rFonts w:ascii="Consolas" w:cs="Consolas" w:eastAsia="Consolas" w:hAnsi="Consolas"/>
          <w:sz w:val="20"/>
          <w:szCs w:val="20"/>
        </w:rPr>
        <w:t xml:space="preserve">case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sample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diagnosis</w:t>
      </w:r>
      <w:r>
        <w:rPr>
          <w:sz w:val="22"/>
          <w:szCs w:val="22"/>
        </w:rPr>
        <w:t xml:space="preserve">) ist eine YAML-Datei mit </w:t>
      </w:r>
      <w:r>
        <w:rPr>
          <w:b/>
          <w:bCs/>
          <w:sz w:val="22"/>
          <w:szCs w:val="22"/>
        </w:rPr>
        <w:t xml:space="preserve">properties</w:t>
      </w:r>
      <w:r>
        <w:rPr>
          <w:sz w:val="22"/>
          <w:szCs w:val="22"/>
        </w:rPr>
        <w:t xml:space="preserve"> (Feldern mit Typ und teils </w:t>
      </w:r>
      <w:r>
        <w:rPr>
          <w:rFonts w:ascii="Consolas" w:cs="Consolas" w:eastAsia="Consolas" w:hAnsi="Consolas"/>
          <w:sz w:val="20"/>
          <w:szCs w:val="20"/>
        </w:rPr>
        <w:t xml:space="preserve">enum</w:t>
      </w:r>
      <w:r>
        <w:rPr>
          <w:sz w:val="22"/>
          <w:szCs w:val="22"/>
        </w:rPr>
        <w:t xml:space="preserve">-Wertelisten), </w:t>
      </w:r>
      <w:r>
        <w:rPr>
          <w:b/>
          <w:bCs/>
          <w:sz w:val="22"/>
          <w:szCs w:val="22"/>
        </w:rPr>
        <w:t xml:space="preserve">links</w:t>
      </w:r>
      <w:r>
        <w:rPr>
          <w:sz w:val="22"/>
          <w:szCs w:val="22"/>
        </w:rPr>
        <w:t xml:space="preserve"> (typisierte Beziehungen zu anderen Nodes) und einer </w:t>
      </w:r>
      <w:r>
        <w:rPr>
          <w:rFonts w:ascii="Consolas" w:cs="Consolas" w:eastAsia="Consolas" w:hAnsi="Consolas"/>
          <w:sz w:val="20"/>
          <w:szCs w:val="20"/>
        </w:rPr>
        <w:t xml:space="preserve">required</w:t>
      </w:r>
      <w:r>
        <w:rPr>
          <w:sz w:val="22"/>
          <w:szCs w:val="22"/>
        </w:rPr>
        <w:t xml:space="preserve">-Liste. Zusammen bilden die Nodes und Links einen gerichteten Graphen – aber ohne formale Semantik, ohne Reasoning und ohne Anbindung an biomedizinische Ontologien.</w:t>
      </w:r>
    </w:p>
    <w:p>
      <w:pPr>
        <w:spacing w:after="130" w:line="280"/>
      </w:pPr>
      <w:r>
        <w:rPr>
          <w:sz w:val="22"/>
          <w:szCs w:val="22"/>
        </w:rPr>
        <w:t xml:space="preserve">Genau diese Lücke schließt das Mapping: Aus flachen Feldern werden Klassen, Properties und Axiome, und aus </w:t>
      </w:r>
      <w:r>
        <w:rPr>
          <w:rFonts w:ascii="Consolas" w:cs="Consolas" w:eastAsia="Consolas" w:hAnsi="Consolas"/>
          <w:sz w:val="20"/>
          <w:szCs w:val="20"/>
        </w:rPr>
        <w:t xml:space="preserve">enum</w:t>
      </w:r>
      <w:r>
        <w:rPr>
          <w:sz w:val="22"/>
          <w:szCs w:val="22"/>
        </w:rPr>
        <w:t xml:space="preserve">-Werten werden – wo möglich – Verweise auf etablierte Ontologien (NCIt, Disease Ontology, ICD-O).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2  Der ETL-Ablauf im Überblick</w:t>
      </w:r>
    </w:p>
    <w:p>
      <w:pPr>
        <w:spacing w:after="130" w:line="280"/>
      </w:pPr>
      <w:r>
        <w:rPr>
          <w:sz w:val="22"/>
          <w:szCs w:val="22"/>
        </w:rPr>
        <w:t xml:space="preserve">Der Mapping-Schritt ist die dritte Stufe eines vierstufigen ETL-Prozesses. Er erzeugt zwei getrennte Ausgaben: das Schema (TBox) und die Instanzdaten (ABox), die beide in den Triple-Store geladen werden.</w:t>
      </w:r>
    </w:p>
    <w:p>
      <w:pPr>
        <w:spacing w:after="40" w:before="60"/>
        <w:jc w:val="center"/>
      </w:pPr>
      <w:r>
        <w:drawing>
          <wp:inline distT="0" distB="0" distL="0" distR="0">
            <wp:extent cx="60960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95959"/>
          <w:sz w:val="18"/>
          <w:szCs w:val="18"/>
        </w:rPr>
        <w:t xml:space="preserve">Abb. 1: Der Semantic-ETL-Ablauf. Der Map-&amp;-Transform-Schritt trennt Schema (TBox) und Fakten (ABox); beide werden in Jena Fuseki/TDB2 geladen.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3  Die Mapping-Regeln</w:t>
      </w:r>
    </w:p>
    <w:p>
      <w:pPr>
        <w:spacing w:after="130" w:line="280"/>
      </w:pPr>
      <w:r>
        <w:rPr>
          <w:sz w:val="22"/>
          <w:szCs w:val="22"/>
        </w:rPr>
        <w:t xml:space="preserve">Das Mapping ist regelbasiert: Jedes GDC-Konstrukt hat ein festes Gegenstück in RDF/OWL. Die folgende Grafik zeigt die Zuordnung, die Tabelle darunter ergänzt je ein Beispiel.</w:t>
      </w:r>
    </w:p>
    <w:p>
      <w:pPr>
        <w:spacing w:after="40" w:before="60"/>
        <w:jc w:val="center"/>
      </w:pPr>
      <w:r>
        <w:drawing>
          <wp:inline distT="0" distB="0" distL="0" distR="0">
            <wp:extent cx="409575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95959"/>
          <w:sz w:val="18"/>
          <w:szCs w:val="18"/>
        </w:rPr>
        <w:t xml:space="preserve">Abb. 2: Konstrukt-für-Konstrukt-Zuordnung von GDC (YAML/JSON-Schema) nach RDF/OWL. Orange hervorgehoben: enum-Werte, die auf externe Ontologien abgebildet werden.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550"/>
        <w:gridCol w:w="2900"/>
      </w:tblGrid>
      <w:tr>
        <w:trPr>
          <w:tblHeader/>
        </w:trPr>
        <w:tc>
          <w:tcPr>
            <w:tcW w:type="dxa" w:w="265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GDC-Konstrukt</w:t>
            </w:r>
          </w:p>
        </w:tc>
        <w:tc>
          <w:tcPr>
            <w:tcW w:type="dxa" w:w="355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RDF/OWL-Gegenstück</w:t>
            </w:r>
          </w:p>
        </w:tc>
        <w:tc>
          <w:tcPr>
            <w:tcW w:type="dxa" w:w="29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Beispiel</w:t>
            </w:r>
          </w:p>
        </w:tc>
      </w:tr>
      <w:tr>
        <w:tc>
          <w:tcPr>
            <w:tcW w:type="dxa" w:w="26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[object Object]
            <w:r>
              <w:rPr>
                <w:sz w:val="19"/>
                <w:szCs w:val="19"/>
              </w:rPr>
              <w:t xml:space="preserve">node / Entität</w:t>
            </w:r>
          </w:p>
        </w:tc>
        <w:tc>
          <w:tcPr>
            <w:tcW w:type="dxa" w:w="35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owl:Class</w:t>
            </w:r>
          </w:p>
        </w:tc>
        <w:tc>
          <w:tcPr>
            <w:tcW w:type="dxa" w:w="29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db:Diagnosis</w:t>
            </w:r>
          </w:p>
        </w:tc>
      </w:tr>
      <w:tr>
        <w:tc>
          <w:tcPr>
            <w:tcW w:type="dxa" w:w="265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property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</w:t>
            </w:r>
          </w:p>
        </w:tc>
        <w:tc>
          <w:tcPr>
            <w:tcW w:type="dxa" w:w="355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owl:DatatypeProperty (xsd-Range)</w:t>
            </w:r>
          </w:p>
        </w:tc>
        <w:tc>
          <w:tcPr>
            <w:tcW w:type="dxa" w:w="29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db:ageAtDiagnosis</w:t>
            </w:r>
          </w:p>
        </w:tc>
      </w:tr>
      <w:tr>
        <w:tc>
          <w:tcPr>
            <w:tcW w:type="dxa" w:w="26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link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35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owl:ObjectProperty</w:t>
            </w:r>
          </w:p>
        </w:tc>
        <w:tc>
          <w:tcPr>
            <w:tcW w:type="dxa" w:w="29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db:describesCase</w:t>
            </w:r>
          </w:p>
        </w:tc>
      </w:tr>
      <w:tr>
        <w:tc>
          <w:tcPr>
            <w:tcW w:type="dxa" w:w="265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backref</w:t>
            </w:r>
          </w:p>
        </w:tc>
        <w:tc>
          <w:tcPr>
            <w:tcW w:type="dxa" w:w="355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owl:inverseOf</w:t>
            </w:r>
          </w:p>
        </w:tc>
        <w:tc>
          <w:tcPr>
            <w:tcW w:type="dxa" w:w="29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db:hasDiagnosis</w:t>
            </w:r>
          </w:p>
        </w:tc>
      </w:tr>
      <w:tr>
        <w:tc>
          <w:tcPr>
            <w:tcW w:type="dxa" w:w="26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enum</w:t>
            </w:r>
            <w:r>
              <w:rPr>
                <w:sz w:val="19"/>
                <w:szCs w:val="19"/>
              </w:rPr>
              <w:t xml:space="preserve">-Werte</w:t>
            </w:r>
          </w:p>
        </w:tc>
        <w:tc>
          <w:tcPr>
            <w:tcW w:type="dxa" w:w="35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Individuals / SKOS + Alignment</w:t>
            </w:r>
          </w:p>
        </w:tc>
        <w:tc>
          <w:tcPr>
            <w:tcW w:type="dxa" w:w="29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ncit:*</w:t>
            </w:r>
          </w:p>
        </w:tc>
      </w:tr>
      <w:tr>
        <w:tc>
          <w:tcPr>
            <w:tcW w:type="dxa" w:w="265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required: [...]</w:t>
            </w:r>
          </w:p>
        </w:tc>
        <w:tc>
          <w:tcPr>
            <w:tcW w:type="dxa" w:w="355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owl:minCardinality 1 + rdfs:domain</w:t>
            </w:r>
          </w:p>
        </w:tc>
        <w:tc>
          <w:tcPr>
            <w:tcW w:type="dxa" w:w="29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Pflichtfeld</w:t>
            </w:r>
          </w:p>
        </w:tc>
      </w:tr>
      <w:tr>
        <w:tc>
          <w:tcPr>
            <w:tcW w:type="dxa" w:w="26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multiplicity</w:t>
            </w:r>
          </w:p>
        </w:tc>
        <w:tc>
          <w:tcPr>
            <w:tcW w:type="dxa" w:w="35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owl:cardinality-Restriction</w:t>
            </w:r>
          </w:p>
        </w:tc>
        <w:tc>
          <w:tcPr>
            <w:tcW w:type="dxa" w:w="29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many_to_one</w:t>
            </w:r>
          </w:p>
        </w:tc>
      </w:tr>
      <w:tr>
        <w:tc>
          <w:tcPr>
            <w:tcW w:type="dxa" w:w="265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5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rdfs:label / rdfs:comment</w:t>
            </w:r>
          </w:p>
        </w:tc>
        <w:tc>
          <w:tcPr>
            <w:tcW w:type="dxa" w:w="29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Beschriftung</w:t>
            </w:r>
          </w:p>
        </w:tc>
      </w:tr>
      <w:tr>
        <w:tc>
          <w:tcPr>
            <w:tcW w:type="dxa" w:w="26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Datensatz (Instanz)</w:t>
            </w:r>
          </w:p>
        </w:tc>
        <w:tc>
          <w:tcPr>
            <w:tcW w:type="dxa" w:w="35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Individual (ABox)</w:t>
            </w:r>
          </w:p>
        </w:tc>
        <w:tc>
          <w:tcPr>
            <w:tcW w:type="dxa" w:w="29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db:diag-TCGA-A1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4  Konkretes Beispiel: der diagnosis-Node</w:t>
      </w:r>
    </w:p>
    <w:p>
      <w:pPr>
        <w:spacing w:after="130" w:line="280"/>
      </w:pPr>
      <w:r>
        <w:rPr>
          <w:sz w:val="22"/>
          <w:szCs w:val="22"/>
        </w:rPr>
        <w:t xml:space="preserve">Ausgangspunkt ist ein (vereinfachter) Auszug des GDC-</w:t>
      </w:r>
      <w:r>
        <w:rPr>
          <w:rFonts w:ascii="Consolas" w:cs="Consolas" w:eastAsia="Consolas" w:hAnsi="Consolas"/>
          <w:sz w:val="20"/>
          <w:szCs w:val="20"/>
        </w:rPr>
        <w:t xml:space="preserve">diagnosis</w:t>
      </w:r>
      <w:r>
        <w:rPr>
          <w:sz w:val="22"/>
          <w:szCs w:val="22"/>
        </w:rPr>
        <w:t xml:space="preserve">-Nodes:</w:t>
      </w:r>
    </w:p>
    <w:p>
      <w:pPr>
        <w:pBdr>
          <w:top w:val="single" w:color="D0D5DD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id: diagnosis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title: Diagnosis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category: clinical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links: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- name: cases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backref: diagnoses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target_type: case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multiplicity: many_to_one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required: true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required: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- primary_diagnosis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properties: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primary_diagnosis: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description: Text term for histologic diagnosis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enum: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  - "Acinar cell carcinoma"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  - "Adenocarcinoma, NOS"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age_at_diagnosis: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type: integer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minimum: 0</w:t>
      </w:r>
    </w:p>
    <w:p>
      <w:pPr>
        <w:spacing w:after="80" w:before="120"/>
      </w:pPr>
      <w:r>
        <w:rPr>
          <w:sz w:val="22"/>
          <w:szCs w:val="22"/>
        </w:rPr>
        <w:t xml:space="preserve">Daraus entsteht das </w:t>
      </w:r>
      <w:r>
        <w:rPr>
          <w:b/>
          <w:bCs/>
          <w:sz w:val="22"/>
          <w:szCs w:val="22"/>
        </w:rPr>
        <w:t xml:space="preserve">Schema (TBox)</w:t>
      </w:r>
      <w:r>
        <w:rPr>
          <w:sz w:val="22"/>
          <w:szCs w:val="22"/>
        </w:rPr>
        <w:t xml:space="preserve">:</w:t>
      </w:r>
    </w:p>
    <w:p>
      <w:pPr>
        <w:pBdr>
          <w:top w:val="single" w:color="D0D5DD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@prefix db:   &lt;http://databridge.hka/onto#&gt;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@prefix owl:  &lt;http://www.w3.org/2002/07/owl#&gt;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@prefix rdfs: &lt;http://www.w3.org/2000/01/rdf-schema#&gt;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@prefix xsd:  &lt;http://www.w3.org/2001/XMLSchema#&gt;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@prefix ncit: &lt;http://purl.obolibrary.org/obo/NCIT_&gt;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db:Diagnosis a owl:Class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rdfs:label   "Diagnosis"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rdfs:comment "Text term for histologic diagnosis"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db:describesCase a owl:ObjectProperty ;        # link: cases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rdfs:domain db:Diagnosis ; rdfs:range db:Case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owl:inverseOf db:hasDiagnosis .            # backref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db:primaryDiagnosis a owl:ObjectProperty ;     # enum -&gt; Alignment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rdfs:domain db:Diagnosis ; rdfs:range ncit:Neoplasm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db:ageAtDiagnosis a owl:DatatypeProperty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rdfs:domain db:Diagnosis ; rdfs:range xsd:integer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db:Diagnosis rdfs:subClassOf                   # required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[ a owl:Restriction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  owl:onProperty db:primaryDiagnosis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  owl:minCardinality 1 ] .</w:t>
      </w:r>
    </w:p>
    <w:p>
      <w:pPr>
        <w:spacing w:after="80" w:before="120"/>
      </w:pPr>
      <w:r>
        <w:rPr>
          <w:sz w:val="22"/>
          <w:szCs w:val="22"/>
        </w:rPr>
        <w:t xml:space="preserve">… und die konkreten </w:t>
      </w:r>
      <w:r>
        <w:rPr>
          <w:b/>
          <w:bCs/>
          <w:sz w:val="22"/>
          <w:szCs w:val="22"/>
        </w:rPr>
        <w:t xml:space="preserve">Fakten (ABox)</w:t>
      </w:r>
      <w:r>
        <w:rPr>
          <w:sz w:val="22"/>
          <w:szCs w:val="22"/>
        </w:rPr>
        <w:t xml:space="preserve"> – inklusive Alignment des enum-Werts auf einen NCIt-Term und RDF-star für die Herkunft der Aussage:</w:t>
      </w:r>
    </w:p>
    <w:p>
      <w:pPr>
        <w:pBdr>
          <w:top w:val="single" w:color="D0D5DD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db:diag-TCGA-A1 a db:Diagnosis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db:describesCase    db:case-TCGA-A1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db:primaryDiagnosis ncit:Cxxxx ;    # "Acinar cell carcinoma"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db:ageAtDiagnosis   58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# RDF-star: Provenienz &amp; Konfidenz an der Aussage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&lt;&lt; db:diag-TCGA-A1 db:primaryDiagnosis ncit:Cxxxx &gt;&gt;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prov:wasDerivedFrom gdc:submission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db:confidence 1.0 .</w:t>
      </w:r>
    </w:p>
    <w:p>
      <w:pPr>
        <w:pBdr>
          <w:left w:val="single" w:color="2E74B5" w:sz="18" w:space="10"/>
        </w:pBdr>
        <w:spacing w:after="120" w:before="80"/>
      </w:pPr>
      <w:r>
        <w:rPr>
          <w:b/>
          <w:bCs/>
          <w:color w:val="2E74B5"/>
          <w:sz w:val="22"/>
          <w:szCs w:val="22"/>
        </w:rPr>
        <w:t xml:space="preserve">Kernidee: </w:t>
      </w:r>
      <w:r>
        <w:rPr>
          <w:sz w:val="21"/>
          <w:szCs w:val="21"/>
        </w:rPr>
        <w:t xml:space="preserve">Der numerische Messwert (Genexpression) bleibt in der anndata-Matrix. Im Graphen steht nur die Bedeutung – welche Diagnose, welcher Fall, welcher NCIt-Term – plus, über RDF-star, woher die Aussage stammt und wie sicher sie ist.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5  Designentscheidungen &amp; offene Punkte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enum: literal oder Alignment? </w:t>
      </w:r>
      <w:r>
        <w:rPr>
          <w:sz w:val="22"/>
          <w:szCs w:val="22"/>
        </w:rPr>
        <w:t xml:space="preserve">Werte als reine Strings ablegen (einfach) oder auf NCIt/DO/ICD-O abbilden (semantisch reich, aber Pflege einer Alignment-Tabelle nötig). Empfehlung: Alignment für die klinisch zentralen Felder, literal für den Rest.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Global-as-View vs. Local-as-View. </w:t>
      </w:r>
      <w:r>
        <w:rPr>
          <w:sz w:val="22"/>
          <w:szCs w:val="22"/>
        </w:rPr>
        <w:t xml:space="preserve">Wie wird das Mapping formalisiert – Sichten der Zielontologie über GDC (GaV, einfacher) oder GDC-Quellen als Sichten der Ontologie (LaV, flexibler bei Quellwechsel)? Für eine Quelle genügt zunächst GaV.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IRI-/Namespace-Strategie. </w:t>
      </w:r>
      <w:r>
        <w:rPr>
          <w:sz w:val="22"/>
          <w:szCs w:val="22"/>
        </w:rPr>
        <w:t xml:space="preserve">Stabile, wiederverwendbare IRIs für Klassen, Properties und Instanzen festlegen (z. B. TCGA-Barcode als Instanz-IRI).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Ontology-Evolution. </w:t>
      </w:r>
      <w:r>
        <w:rPr>
          <w:sz w:val="22"/>
          <w:szCs w:val="22"/>
        </w:rPr>
        <w:t xml:space="preserve">Das GDC-Schema ändert sich – das Mapping muss versioniert und bei Schemaänderungen nachgeführt werden (dein Flexibilitätsziel; Bezug zu ADR-0002).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Werkzeug für das Mapping. </w:t>
      </w:r>
      <w:r>
        <w:rPr>
          <w:sz w:val="22"/>
          <w:szCs w:val="22"/>
        </w:rPr>
        <w:t xml:space="preserve">Eigenes Python-Skript mit rdflib, oder ein deklaratives Mapping (z. B. RML/YARRRML)? Deklarativ ist wartbarer, rdflib flexibler.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6  Nächste Schritte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Übergabeformat mit dem API-Kollegen fixieren </w:t>
      </w:r>
      <w:r>
        <w:rPr>
          <w:sz w:val="22"/>
          <w:szCs w:val="22"/>
        </w:rPr>
        <w:t xml:space="preserve">(welche GDC-Nodes/Felder kommen wie an).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Zielontologie-Kern </w:t>
      </w:r>
      <w:r>
        <w:rPr>
          <w:sz w:val="22"/>
          <w:szCs w:val="22"/>
        </w:rPr>
        <w:t xml:space="preserve">aus dem Wissensnetz-Schema ableiten (Klassen/Properties, die das Mapping bedient).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Proof-of-Concept: </w:t>
      </w:r>
      <w:r>
        <w:rPr>
          <w:sz w:val="22"/>
          <w:szCs w:val="22"/>
        </w:rPr>
        <w:t xml:space="preserve">einen Node (z. B. </w:t>
      </w:r>
      <w:r>
        <w:rPr>
          <w:rFonts w:ascii="Consolas" w:cs="Consolas" w:eastAsia="Consolas" w:hAnsi="Consolas"/>
          <w:sz w:val="20"/>
          <w:szCs w:val="20"/>
        </w:rPr>
        <w:t xml:space="preserve">diagnosis</w:t>
      </w:r>
      <w:r>
        <w:rPr>
          <w:sz w:val="22"/>
          <w:szCs w:val="22"/>
        </w:rPr>
        <w:t xml:space="preserve">) end-to-end mappen, in Fuseki laden, per SPARQL abfragen.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Alignment-Tabelle </w:t>
      </w:r>
      <w:r>
        <w:rPr>
          <w:sz w:val="22"/>
          <w:szCs w:val="22"/>
        </w:rPr>
        <w:t xml:space="preserve">für die wichtigsten enum-Felder gegen NCIt/DO beginnen (via OLS/BioPortal).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7  Quellen</w:t>
      </w:r>
    </w:p>
    <w:p>
      <w:pPr>
        <w:pStyle w:val="ListParagraph"/>
        <w:numPr>
          <w:ilvl w:val="0"/>
          <w:numId w:val="1"/>
        </w:numPr>
        <w:spacing w:after="70"/>
      </w:pPr>
      <w:hyperlink w:history="1" r:id="rId2i2ui50sg3tffc9gdr6u8">
        <w:r>
          <w:rPr>
            <w:color w:val="2E74B5"/>
            <w:sz w:val="22"/>
            <w:szCs w:val="22"/>
            <w:u w:val="single"/>
          </w:rPr>
          <w:t xml:space="preserve">GDC Data Dictionary – Dokumentation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-6mrvi_7gkmjvcdkm_qlv">
        <w:r>
          <w:rPr>
            <w:color w:val="2E74B5"/>
            <w:sz w:val="22"/>
            <w:szCs w:val="22"/>
            <w:u w:val="single"/>
          </w:rPr>
          <w:t xml:space="preserve">NCI-GDC/gdcdictionary – YAML-Schemas (GitHub)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xsllftldr1s9b4v37bemc">
        <w:r>
          <w:rPr>
            <w:color w:val="2E74B5"/>
            <w:sz w:val="22"/>
            <w:szCs w:val="22"/>
            <w:u w:val="single"/>
          </w:rPr>
          <w:t xml:space="preserve">W3C – RDF 1.2 / SPARQL 1.2 (RDF-star)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9wp2aukuh5rhqafnqjofu">
        <w:r>
          <w:rPr>
            <w:color w:val="2E74B5"/>
            <w:sz w:val="22"/>
            <w:szCs w:val="22"/>
            <w:u w:val="single"/>
          </w:rPr>
          <w:t xml:space="preserve">EBI Ontology Lookup Service (OLS) – NCIt, DO nachschlagen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yokbvlerqfw4ponyhpdtl">
        <w:r>
          <w:rPr>
            <w:color w:val="2E74B5"/>
            <w:sz w:val="22"/>
            <w:szCs w:val="22"/>
            <w:u w:val="single"/>
          </w:rPr>
          <w:t xml:space="preserve">RML / YARRRML – deklaratives Mapping nach RDF</w:t>
        </w:r>
      </w:hyperlink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docs/adr/0002-graph-db-wahl-offen.md</w:t>
      </w:r>
      <w:r>
        <w:rPr>
          <w:sz w:val="20"/>
          <w:szCs w:val="20"/>
        </w:rPr>
        <w:t xml:space="preserve">  – Graph-Modell-Entscheidung (RDF/OWL, RDF-star)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wissensnetz/Wissensnetz_Konzept-Entwurf.docx</w:t>
      </w:r>
      <w:r>
        <w:rPr>
          <w:sz w:val="20"/>
          <w:szCs w:val="20"/>
        </w:rPr>
        <w:t xml:space="preserve">  – übergeordnetes Konzept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i2ui50sg3tffc9gdr6u8" Type="http://schemas.openxmlformats.org/officeDocument/2006/relationships/hyperlink" Target="https://docs.gdc.cancer.gov/Data_Dictionary/" TargetMode="External"/><Relationship Id="rId-6mrvi_7gkmjvcdkm_qlv" Type="http://schemas.openxmlformats.org/officeDocument/2006/relationships/hyperlink" Target="https://github.com/NCI-GDC/gdcdictionary" TargetMode="External"/><Relationship Id="rIdxsllftldr1s9b4v37bemc" Type="http://schemas.openxmlformats.org/officeDocument/2006/relationships/hyperlink" Target="https://www.w3.org/TR/sparql12-query/" TargetMode="External"/><Relationship Id="rId9wp2aukuh5rhqafnqjofu" Type="http://schemas.openxmlformats.org/officeDocument/2006/relationships/hyperlink" Target="https://www.ebi.ac.uk/ols4" TargetMode="External"/><Relationship Id="rIdyokbvlerqfw4ponyhpdtl" Type="http://schemas.openxmlformats.org/officeDocument/2006/relationships/hyperlink" Target="https://rml.io/" TargetMode="External"/><Relationship Id="rId7" Type="http://schemas.openxmlformats.org/officeDocument/2006/relationships/image" Target="media/95ed234e277ce86f11621ac1abcb80c39f4b590c.png"/><Relationship Id="rId8" Type="http://schemas.openxmlformats.org/officeDocument/2006/relationships/image" Target="media/00434983829ec11d782f4661c9519fab103b518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Mapping-Konzept GDC → RDF/OWL</dc:title>
  <dc:creator>DataBridge / Marcel Thiel</dc:creator>
  <cp:lastModifiedBy>Un-named</cp:lastModifiedBy>
  <cp:revision>1</cp:revision>
  <dcterms:created xsi:type="dcterms:W3CDTF">2026-08-20T10:54:04.343Z</dcterms:created>
  <dcterms:modified xsi:type="dcterms:W3CDTF">2026-08-20T10:54:04.351Z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