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595959"/>
          <w:sz w:val="20"/>
          <w:szCs w:val="20"/>
        </w:rPr>
        <w:t xml:space="preserve">MAPPING-SPEZIFIKATION · ENTWURF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Globale &amp; eindeutige Zuordnung im Wissensnetz</w:t>
      </w:r>
    </w:p>
    <w:p>
      <w:pPr>
        <w:spacing w:after="60"/>
      </w:pPr>
      <w:r>
        <w:rPr>
          <w:color w:val="2E74B5"/>
          <w:sz w:val="24"/>
          <w:szCs w:val="24"/>
        </w:rPr>
        <w:t xml:space="preserve">Die drei Ebenen: Wert → Konzept · Feld → Property · Entität → Identifikator</w:t>
      </w:r>
    </w:p>
    <w:p>
      <w:pPr>
        <w:pBdr>
          <w:bottom w:val="single" w:color="2E74B5" w:sz="12" w:space="6"/>
        </w:pBdr>
        <w:spacing w:after="150"/>
      </w:pPr>
      <w:r>
        <w:rPr>
          <w:color w:val="595959"/>
          <w:sz w:val="20"/>
          <w:szCs w:val="20"/>
        </w:rPr>
        <w:t xml:space="preserve">Projekt DataBridge · 26ss_CB_DataBridge · Teilbereich Wissensnetz (Marcel Thiel)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2E7D32"/>
          <w:sz w:val="22"/>
          <w:szCs w:val="22"/>
        </w:rPr>
        <w:t xml:space="preserve">Entwurf v0.1</w:t>
      </w:r>
      <w:r>
        <w:rPr>
          <w:color w:val="595959"/>
          <w:sz w:val="22"/>
          <w:szCs w:val="22"/>
        </w:rPr>
        <w:t xml:space="preserve">     ·     </w:t>
      </w:r>
      <w:r>
        <w:rPr>
          <w:b/>
          <w:bCs/>
          <w:sz w:val="22"/>
          <w:szCs w:val="22"/>
        </w:rPr>
        <w:t xml:space="preserve">Stand: </w:t>
      </w:r>
      <w:r>
        <w:rPr>
          <w:sz w:val="22"/>
          <w:szCs w:val="22"/>
        </w:rPr>
        <w:t xml:space="preserve">26.08.2026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Worum es geht</w:t>
      </w:r>
    </w:p>
    <w:p>
      <w:pPr>
        <w:spacing w:after="130" w:line="280"/>
      </w:pPr>
      <w:r>
        <w:rPr>
          <w:sz w:val="22"/>
          <w:szCs w:val="22"/>
        </w:rPr>
        <w:t xml:space="preserve">Der GDC-Wrapper (Kollege A) liefert TCGA-Daten mit </w:t>
      </w:r>
      <w:r>
        <w:rPr>
          <w:i/>
          <w:iCs/>
          <w:sz w:val="22"/>
          <w:szCs w:val="22"/>
        </w:rPr>
        <w:t xml:space="preserve">lokalen</w:t>
      </w:r>
      <w:r>
        <w:rPr>
          <w:sz w:val="22"/>
          <w:szCs w:val="22"/>
        </w:rPr>
        <w:t xml:space="preserve"> Feldnamen und Werten. Damit daraus ein </w:t>
      </w:r>
      <w:r>
        <w:rPr>
          <w:b/>
          <w:bCs/>
          <w:sz w:val="22"/>
          <w:szCs w:val="22"/>
        </w:rPr>
        <w:t xml:space="preserve">Wissensnetz</w:t>
      </w:r>
      <w:r>
        <w:rPr>
          <w:sz w:val="22"/>
          <w:szCs w:val="22"/>
        </w:rPr>
        <w:t xml:space="preserve"> wird — und nicht nur eine weitere Datenbank — muss jedes Feld, jeder Wert und jede Entität auf eine </w:t>
      </w:r>
      <w:r>
        <w:rPr>
          <w:b/>
          <w:bCs/>
          <w:sz w:val="22"/>
          <w:szCs w:val="22"/>
        </w:rPr>
        <w:t xml:space="preserve">global gültige, eindeutige Zuordnung</w:t>
      </w:r>
      <w:r>
        <w:rPr>
          <w:sz w:val="22"/>
          <w:szCs w:val="22"/>
        </w:rPr>
        <w:t xml:space="preserve"> abgebildet werden. Das geschieht auf drei Ebenen, die dieses Dokument erklärt.</w:t>
      </w:r>
    </w:p>
    <w:p>
      <w:pPr>
        <w:spacing w:after="130" w:line="280"/>
      </w:pPr>
      <w:r>
        <w:rPr>
          <w:sz w:val="22"/>
          <w:szCs w:val="22"/>
        </w:rPr>
        <w:t xml:space="preserve">Diese Spezifikation ist zugleich der </w:t>
      </w:r>
      <w:r>
        <w:rPr>
          <w:b/>
          <w:bCs/>
          <w:sz w:val="22"/>
          <w:szCs w:val="22"/>
        </w:rPr>
        <w:t xml:space="preserve">Übergabe-Vertrag</w:t>
      </w:r>
      <w:r>
        <w:rPr>
          <w:sz w:val="22"/>
          <w:szCs w:val="22"/>
        </w:rPr>
        <w:t xml:space="preserve"> mit dem Team: Sie legt fest, welche Felder und Identifikatoren der Wrapper (A) liefern muss und wie der Mediator (B) sie nach RDF/OWL überführt. Solange der Wrapper gebaut wird, ist jetzt der richtige Zeitpunkt, diese Liste gemeinsam festzulegen.</w:t>
      </w:r>
    </w:p>
    <w:p>
      <w:pPr>
        <w:spacing w:after="130" w:line="280"/>
      </w:pPr>
      <w:r>
        <w:rPr>
          <w:sz w:val="22"/>
          <w:szCs w:val="22"/>
        </w:rPr>
        <w:t xml:space="preserve">Kurzüberblick der drei Ebenen: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Ebene 1 — Wert → globales Konzept: </w:t>
      </w:r>
      <w:r>
        <w:rPr>
          <w:sz w:val="22"/>
          <w:szCs w:val="22"/>
        </w:rPr>
        <w:t xml:space="preserve">ein Textwert (z. B. eine Diagnose) wird auf ein standardisiertes Ontologie-Konzept abgebildet (NCIt, GO …).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Ebene 2 — Feld → Ontologie-Property/Klasse: </w:t>
      </w:r>
      <w:r>
        <w:rPr>
          <w:sz w:val="22"/>
          <w:szCs w:val="22"/>
        </w:rPr>
        <w:t xml:space="preserve">ein GDC-Feld/-Node wird auf eine db:-Property bzw. -Klasse abgebildet (Semantic-ETL-Regeln).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Ebene 3 — Entität → global eindeutiger Identifikator: </w:t>
      </w:r>
      <w:r>
        <w:rPr>
          <w:sz w:val="22"/>
          <w:szCs w:val="22"/>
        </w:rPr>
        <w:t xml:space="preserve">jede Entität erhält eine stabile, eindeutige IRI aus einem globalen ID-System (TCGA-Barcode, Ensembl, miRBase …).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Ebene 1 — Wert → globales Konzept (Alignment)</w:t>
      </w:r>
    </w:p>
    <w:p>
      <w:pPr>
        <w:spacing w:after="130" w:line="280"/>
      </w:pPr>
      <w:r>
        <w:rPr>
          <w:sz w:val="22"/>
          <w:szCs w:val="22"/>
        </w:rPr>
        <w:t xml:space="preserve">Problem: Ein GDC-Feld wie </w:t>
      </w:r>
      <w:r>
        <w:rPr>
          <w:rFonts w:ascii="Consolas" w:cs="Consolas" w:eastAsia="Consolas" w:hAnsi="Consolas"/>
          <w:sz w:val="20"/>
          <w:szCs w:val="20"/>
        </w:rPr>
        <w:t xml:space="preserve">primary_diagnosis</w:t>
      </w:r>
      <w:r>
        <w:rPr>
          <w:sz w:val="22"/>
          <w:szCs w:val="22"/>
        </w:rPr>
        <w:t xml:space="preserve"> kommt als Text, z. B. „Infiltrating duct carcinoma, NOS“. Das ist eine bloße Zeichenkette — der Graph „weiß“ nicht, welche Krankheit gemeint ist, kann sie nicht mit verwandten Diagnosen verknüpfen und keine Hierarchie abfragen.</w:t>
      </w:r>
    </w:p>
    <w:p>
      <w:pPr>
        <w:spacing w:after="130" w:line="280"/>
      </w:pPr>
      <w:r>
        <w:rPr>
          <w:sz w:val="22"/>
          <w:szCs w:val="22"/>
        </w:rPr>
        <w:t xml:space="preserve">Lösung: Eine </w:t>
      </w:r>
      <w:r>
        <w:rPr>
          <w:b/>
          <w:bCs/>
          <w:sz w:val="22"/>
          <w:szCs w:val="22"/>
        </w:rPr>
        <w:t xml:space="preserve">Alignment-Tabelle</w:t>
      </w:r>
      <w:r>
        <w:rPr>
          <w:sz w:val="22"/>
          <w:szCs w:val="22"/>
        </w:rPr>
        <w:t xml:space="preserve"> bildet den Text auf einen </w:t>
      </w:r>
      <w:r>
        <w:rPr>
          <w:b/>
          <w:bCs/>
          <w:sz w:val="22"/>
          <w:szCs w:val="22"/>
        </w:rPr>
        <w:t xml:space="preserve">global auflösbaren Ontologie-Bezeichner (IRI)</w:t>
      </w:r>
      <w:r>
        <w:rPr>
          <w:sz w:val="22"/>
          <w:szCs w:val="22"/>
        </w:rPr>
        <w:t xml:space="preserve"> ab. Dann ergänzt das Mapping zusätzlich zum Literal eine Aussage auf das Konzept.</w:t>
      </w:r>
    </w:p>
    <w:p>
      <w:pPr>
        <w:spacing w:after="130" w:line="280"/>
      </w:pPr>
      <w:r>
        <w:rPr>
          <w:sz w:val="22"/>
          <w:szCs w:val="22"/>
        </w:rPr>
        <w:t xml:space="preserve">Mechanismus: JSON-Tabellen unter </w:t>
      </w:r>
      <w:r>
        <w:rPr>
          <w:rFonts w:ascii="Consolas" w:cs="Consolas" w:eastAsia="Consolas" w:hAnsi="Consolas"/>
          <w:sz w:val="20"/>
          <w:szCs w:val="20"/>
        </w:rPr>
        <w:t xml:space="preserve">wissensnetz/ontology/alignment/</w:t>
      </w:r>
      <w:r>
        <w:rPr>
          <w:sz w:val="22"/>
          <w:szCs w:val="22"/>
        </w:rPr>
        <w:t xml:space="preserve">, gelesen von </w:t>
      </w:r>
      <w:r>
        <w:rPr>
          <w:rFonts w:ascii="Consolas" w:cs="Consolas" w:eastAsia="Consolas" w:hAnsi="Consolas"/>
          <w:sz w:val="20"/>
          <w:szCs w:val="20"/>
        </w:rPr>
        <w:t xml:space="preserve">mediator/app/semantic/mapping.py</w:t>
      </w:r>
      <w:r>
        <w:rPr>
          <w:sz w:val="22"/>
          <w:szCs w:val="22"/>
        </w:rPr>
        <w:t xml:space="preserve">. Nicht gelistete Werte bleiben als Literal (kein falsches Alignment).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Beispiel:</w:t>
      </w:r>
    </w:p>
    <w:p>
      <w:pPr>
        <w:pBdr>
          <w:top w:val="single" w:color="D0D5DD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// wissensnetz/ontology/alignment/ncit_primary_diagnosis.json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"Infiltrating duct carcinoma, NOS": "http://purl.obolibrary.org/obo/NCIT_C4194"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# Ergebnis im Graphen (zusaetzlich zum Roh-Literal):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db:diag-...  db:primaryDiagnosisLabel "Infiltrating duct carcinoma, NOS"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         db:primaryDiagnosis      ncit:C4194 .    # globales NCIt-Konzept</w:t>
      </w:r>
    </w:p>
    <w:p>
      <w:pPr>
        <w:spacing w:after="130" w:line="280"/>
      </w:pPr>
      <w:r>
        <w:rPr>
          <w:sz w:val="22"/>
          <w:szCs w:val="22"/>
        </w:rPr>
        <w:t xml:space="preserve">Welche Ontologie je Werttyp? Für den Anfang genügt </w:t>
      </w:r>
      <w:r>
        <w:rPr>
          <w:rFonts w:ascii="Consolas" w:cs="Consolas" w:eastAsia="Consolas" w:hAnsi="Consolas"/>
          <w:sz w:val="20"/>
          <w:szCs w:val="20"/>
        </w:rPr>
        <w:t xml:space="preserve">primary_diagnosis</w:t>
      </w:r>
      <w:r>
        <w:rPr>
          <w:sz w:val="22"/>
          <w:szCs w:val="22"/>
        </w:rPr>
        <w:t xml:space="preserve"> → NCIt; weitere folgen mit der TBox-Erweiterung: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2600"/>
        <w:gridCol w:w="13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Feld / Werttyp</w:t>
            </w:r>
          </w:p>
        </w:tc>
        <w:tc>
          <w:tcPr>
            <w:tcW w:type="dxa" w:w="32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Ziel-Ontologie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Beispiel</w:t>
            </w:r>
          </w:p>
        </w:tc>
        <w:tc>
          <w:tcPr>
            <w:tcW w:type="dxa" w:w="13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primary_diagnosis</w:t>
            </w:r>
          </w:p>
        </w:tc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NCI Thesaurus (NCIt) / ICD-O-3</w:t>
            </w:r>
          </w:p>
        </w:tc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NCIT_C4194</w:t>
            </w:r>
          </w:p>
        </w:tc>
        <w:tc>
          <w:tcPr>
            <w:tcW w:type="dxa" w:w="1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begonnen</w:t>
            </w:r>
          </w:p>
        </w:tc>
      </w:tr>
      <w:tr>
        <w:tc>
          <w:tcPr>
            <w:tcW w:type="dxa" w:w="25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Krankheit / Krebsart</w:t>
            </w:r>
          </w:p>
        </w:tc>
        <w:tc>
          <w:tcPr>
            <w:tcW w:type="dxa" w:w="32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Disease Ontology (DOID) / NCIt</w:t>
            </w:r>
          </w:p>
        </w:tc>
        <w:tc>
          <w:tcPr>
            <w:tcW w:type="dxa" w:w="26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DOID_1612 (Breast Cancer)</w:t>
            </w:r>
          </w:p>
        </w:tc>
        <w:tc>
          <w:tcPr>
            <w:tcW w:type="dxa" w:w="13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geplant</w:t>
            </w:r>
          </w:p>
        </w:tc>
      </w:tr>
      <w:tr>
        <w:tc>
          <w:tcPr>
            <w:tcW w:type="dxa" w:w="25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Gewebe / Lokalisation</w:t>
            </w:r>
          </w:p>
        </w:tc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Uberon / ICD-O-Topographie</w:t>
            </w:r>
          </w:p>
        </w:tc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UBERON_0000310</w:t>
            </w:r>
          </w:p>
        </w:tc>
        <w:tc>
          <w:tcPr>
            <w:tcW w:type="dxa" w:w="1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geplant</w:t>
            </w:r>
          </w:p>
        </w:tc>
      </w:tr>
      <w:tr>
        <w:tc>
          <w:tcPr>
            <w:tcW w:type="dxa" w:w="25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Genfunktion</w:t>
            </w:r>
          </w:p>
        </w:tc>
        <w:tc>
          <w:tcPr>
            <w:tcW w:type="dxa" w:w="32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 Ontology (GO)</w:t>
            </w:r>
          </w:p>
        </w:tc>
        <w:tc>
          <w:tcPr>
            <w:tcW w:type="dxa" w:w="26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GO_0006281</w:t>
            </w:r>
          </w:p>
        </w:tc>
        <w:tc>
          <w:tcPr>
            <w:tcW w:type="dxa" w:w="13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geplant</w:t>
            </w:r>
          </w:p>
        </w:tc>
      </w:tr>
      <w:tr>
        <w:tc>
          <w:tcPr>
            <w:tcW w:type="dxa" w:w="25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Varianten-/Mutationstyp</w:t>
            </w:r>
          </w:p>
        </w:tc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Sequence Ontology (SO)</w:t>
            </w:r>
          </w:p>
        </w:tc>
        <w:tc>
          <w:tcPr>
            <w:tcW w:type="dxa" w:w="26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SO_0001583</w:t>
            </w:r>
          </w:p>
        </w:tc>
        <w:tc>
          <w:tcPr>
            <w:tcW w:type="dxa" w:w="13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geplant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Ebene 2 — Feld → Ontologie-Property/Klasse (Schema-Mapping)</w:t>
      </w:r>
    </w:p>
    <w:p>
      <w:pPr>
        <w:spacing w:after="130" w:line="280"/>
      </w:pPr>
      <w:r>
        <w:rPr>
          <w:sz w:val="22"/>
          <w:szCs w:val="22"/>
        </w:rPr>
        <w:t xml:space="preserve">Jedes GDC-Konstrukt bekommt ein festes Gegenstück in der DataBridge-Ontologie (Namespace </w:t>
      </w:r>
      <w:r>
        <w:rPr>
          <w:rFonts w:ascii="Consolas" w:cs="Consolas" w:eastAsia="Consolas" w:hAnsi="Consolas"/>
          <w:sz w:val="20"/>
          <w:szCs w:val="20"/>
        </w:rPr>
        <w:t xml:space="preserve">db: = http://databridge.hka/onto#</w:t>
      </w:r>
      <w:r>
        <w:rPr>
          <w:sz w:val="22"/>
          <w:szCs w:val="22"/>
        </w:rPr>
        <w:t xml:space="preserve">). Das sind die Semantic-ETL-Regeln aus dem Mapping-Konzept: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GDC-Node (Entität) → </w:t>
      </w:r>
      <w:r>
        <w:rPr>
          <w:rFonts w:ascii="Consolas" w:cs="Consolas" w:eastAsia="Consolas" w:hAnsi="Consolas"/>
          <w:sz w:val="20"/>
          <w:szCs w:val="20"/>
        </w:rPr>
        <w:t xml:space="preserve">owl:Class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Property + Typ → </w:t>
      </w:r>
      <w:r>
        <w:rPr>
          <w:rFonts w:ascii="Consolas" w:cs="Consolas" w:eastAsia="Consolas" w:hAnsi="Consolas"/>
          <w:sz w:val="20"/>
          <w:szCs w:val="20"/>
        </w:rPr>
        <w:t xml:space="preserve">owl:DatatypeProperty</w:t>
      </w:r>
      <w:r>
        <w:rPr>
          <w:sz w:val="22"/>
          <w:szCs w:val="22"/>
        </w:rPr>
        <w:t xml:space="preserve"> (xsd-Range)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Link (Beziehung) → </w:t>
      </w:r>
      <w:r>
        <w:rPr>
          <w:rFonts w:ascii="Consolas" w:cs="Consolas" w:eastAsia="Consolas" w:hAnsi="Consolas"/>
          <w:sz w:val="20"/>
          <w:szCs w:val="20"/>
        </w:rPr>
        <w:t xml:space="preserve">owl:ObjectProperty</w:t>
      </w:r>
      <w:r>
        <w:rPr>
          <w:sz w:val="22"/>
          <w:szCs w:val="22"/>
        </w:rPr>
        <w:t xml:space="preserve">, backref → </w:t>
      </w:r>
      <w:r>
        <w:rPr>
          <w:rFonts w:ascii="Consolas" w:cs="Consolas" w:eastAsia="Consolas" w:hAnsi="Consolas"/>
          <w:sz w:val="20"/>
          <w:szCs w:val="20"/>
        </w:rPr>
        <w:t xml:space="preserve">owl:inverseOf</w:t>
      </w:r>
    </w:p>
    <w:p>
      <w:pPr>
        <w:spacing w:after="130" w:line="280"/>
      </w:pPr>
      <w:r>
        <w:rPr>
          <w:sz w:val="22"/>
          <w:szCs w:val="22"/>
        </w:rPr>
        <w:t xml:space="preserve">Aktueller Stand (Kern-Ausschnitt case/project/demographic/diagnosis):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20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GDC-Feld / -Konstrukt</w:t>
            </w:r>
          </w:p>
        </w:tc>
        <w:tc>
          <w:tcPr>
            <w:tcW w:type="dxa" w:w="39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db:-Gegenstück</w:t>
            </w:r>
          </w:p>
        </w:tc>
        <w:tc>
          <w:tcPr>
            <w:tcW w:type="dxa" w:w="20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</w:tr>
      <w:tr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node: case</w:t>
            </w:r>
          </w:p>
        </w:tc>
        <w:tc>
          <w:tcPr>
            <w:tcW w:type="dxa" w:w="3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db:Case</w:t>
            </w:r>
          </w:p>
        </w:tc>
        <w:tc>
          <w:tcPr>
            <w:tcW w:type="dxa" w:w="2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owl:Class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node: project</w:t>
            </w:r>
          </w:p>
        </w:tc>
        <w:tc>
          <w:tcPr>
            <w:tcW w:type="dxa" w:w="3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db:Project</w:t>
            </w:r>
          </w:p>
        </w:tc>
        <w:tc>
          <w:tcPr>
            <w:tcW w:type="dxa" w:w="20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owl:Class</w:t>
            </w:r>
          </w:p>
        </w:tc>
      </w:tr>
      <w:tr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node: demographic</w:t>
            </w:r>
          </w:p>
        </w:tc>
        <w:tc>
          <w:tcPr>
            <w:tcW w:type="dxa" w:w="3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db:Demographic</w:t>
            </w:r>
          </w:p>
        </w:tc>
        <w:tc>
          <w:tcPr>
            <w:tcW w:type="dxa" w:w="2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owl:Class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node: diagnosis</w:t>
            </w:r>
          </w:p>
        </w:tc>
        <w:tc>
          <w:tcPr>
            <w:tcW w:type="dxa" w:w="3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db:Diagnosis</w:t>
            </w:r>
          </w:p>
        </w:tc>
        <w:tc>
          <w:tcPr>
            <w:tcW w:type="dxa" w:w="20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owl:Class</w:t>
            </w:r>
          </w:p>
        </w:tc>
      </w:tr>
      <w:tr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case.submitter_id</w:t>
            </w:r>
          </w:p>
        </w:tc>
        <w:tc>
          <w:tcPr>
            <w:tcW w:type="dxa" w:w="3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db:submitterId</w:t>
            </w:r>
          </w:p>
        </w:tc>
        <w:tc>
          <w:tcPr>
            <w:tcW w:type="dxa" w:w="2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DatatypeProperty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project.project_id</w:t>
            </w:r>
          </w:p>
        </w:tc>
        <w:tc>
          <w:tcPr>
            <w:tcW w:type="dxa" w:w="3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db:projectId</w:t>
            </w:r>
          </w:p>
        </w:tc>
        <w:tc>
          <w:tcPr>
            <w:tcW w:type="dxa" w:w="20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DatatypeProperty</w:t>
            </w:r>
          </w:p>
        </w:tc>
      </w:tr>
      <w:tr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demographic.gender</w:t>
            </w:r>
          </w:p>
        </w:tc>
        <w:tc>
          <w:tcPr>
            <w:tcW w:type="dxa" w:w="3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db:gender</w:t>
            </w:r>
          </w:p>
        </w:tc>
        <w:tc>
          <w:tcPr>
            <w:tcW w:type="dxa" w:w="2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DatatypeProperty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diagnoses.primary_diagnosis</w:t>
            </w:r>
          </w:p>
        </w:tc>
        <w:tc>
          <w:tcPr>
            <w:tcW w:type="dxa" w:w="3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db:primaryDiagnosisLabel</w:t>
            </w:r>
          </w:p>
        </w:tc>
        <w:tc>
          <w:tcPr>
            <w:tcW w:type="dxa" w:w="20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DatatypeProperty</w:t>
            </w:r>
          </w:p>
        </w:tc>
      </w:tr>
      <w:tr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diagnoses.age_at_diagnosis</w:t>
            </w:r>
          </w:p>
        </w:tc>
        <w:tc>
          <w:tcPr>
            <w:tcW w:type="dxa" w:w="3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db:ageAtDiagnosis</w:t>
            </w:r>
          </w:p>
        </w:tc>
        <w:tc>
          <w:tcPr>
            <w:tcW w:type="dxa" w:w="2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DatatypeProperty</w:t>
            </w:r>
          </w:p>
        </w:tc>
      </w:tr>
      <w:tr>
        <w:tc>
          <w:tcPr>
            <w:tcW w:type="dxa" w:w="32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link case→project</w:t>
            </w:r>
          </w:p>
        </w:tc>
        <w:tc>
          <w:tcPr>
            <w:tcW w:type="dxa" w:w="39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db:belongsToProject / db:hasCase</w:t>
            </w:r>
          </w:p>
        </w:tc>
        <w:tc>
          <w:tcPr>
            <w:tcW w:type="dxa" w:w="20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ObjectProperty</w:t>
            </w:r>
          </w:p>
        </w:tc>
      </w:tr>
      <w:tr>
        <w:tc>
          <w:tcPr>
            <w:tcW w:type="dxa" w:w="32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link diagnosis→case</w:t>
            </w:r>
          </w:p>
        </w:tc>
        <w:tc>
          <w:tcPr>
            <w:tcW w:type="dxa" w:w="39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db:describesCase / db:hasDiagnosis</w:t>
            </w:r>
          </w:p>
        </w:tc>
        <w:tc>
          <w:tcPr>
            <w:tcW w:type="dxa" w:w="20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ObjectProperty</w:t>
            </w:r>
          </w:p>
        </w:tc>
      </w:tr>
    </w:tbl>
    <w:p>
      <w:pPr>
        <w:spacing w:after="130" w:line="280"/>
      </w:pPr>
      <w:r>
        <w:rPr>
          <w:sz w:val="22"/>
          <w:szCs w:val="22"/>
        </w:rPr>
        <w:t xml:space="preserve">Diese Tabelle ist der konkrete Feld-Vertrag mit dem Wrapper: Genau diese Felder müssen geliefert werden, damit das Mapping greift.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Ebene 3 — Entität → global eindeutiger Identifikator (Identität)</w:t>
      </w:r>
    </w:p>
    <w:p>
      <w:pPr>
        <w:spacing w:after="130" w:line="280"/>
      </w:pPr>
      <w:r>
        <w:rPr>
          <w:sz w:val="22"/>
          <w:szCs w:val="22"/>
        </w:rPr>
        <w:t xml:space="preserve">Damit „dasselbe Ding = derselbe Knoten“ gilt, braucht jede Entität eine </w:t>
      </w:r>
      <w:r>
        <w:rPr>
          <w:b/>
          <w:bCs/>
          <w:sz w:val="22"/>
          <w:szCs w:val="22"/>
        </w:rPr>
        <w:t xml:space="preserve">stabile, eindeutige IRI</w:t>
      </w:r>
      <w:r>
        <w:rPr>
          <w:sz w:val="22"/>
          <w:szCs w:val="22"/>
        </w:rPr>
        <w:t xml:space="preserve">, die aus einem </w:t>
      </w:r>
      <w:r>
        <w:rPr>
          <w:b/>
          <w:bCs/>
          <w:sz w:val="22"/>
          <w:szCs w:val="22"/>
        </w:rPr>
        <w:t xml:space="preserve">eindeutigen Schlüssel</w:t>
      </w:r>
      <w:r>
        <w:rPr>
          <w:sz w:val="22"/>
          <w:szCs w:val="22"/>
        </w:rPr>
        <w:t xml:space="preserve"> gebildet wird. Für biologische Entitäten nutzt man dafür etablierte, weltweit eindeutige ID-Systeme.</w:t>
      </w:r>
    </w:p>
    <w:p>
      <w:pPr>
        <w:spacing w:after="130" w:line="280"/>
      </w:pPr>
      <w:r>
        <w:rPr>
          <w:sz w:val="22"/>
          <w:szCs w:val="22"/>
        </w:rPr>
        <w:t xml:space="preserve">Warum das zählt: (1) </w:t>
      </w:r>
      <w:r>
        <w:rPr>
          <w:b/>
          <w:bCs/>
          <w:sz w:val="22"/>
          <w:szCs w:val="22"/>
        </w:rPr>
        <w:t xml:space="preserve">Idempotenz</w:t>
      </w:r>
      <w:r>
        <w:rPr>
          <w:sz w:val="22"/>
          <w:szCs w:val="22"/>
        </w:rPr>
        <w:t xml:space="preserve"> — derselbe Schlüssel erzeugt dieselbe IRI, mehrfaches Laden dupliziert nichts (RDF-Mengensemantik). (2) </w:t>
      </w:r>
      <w:r>
        <w:rPr>
          <w:b/>
          <w:bCs/>
          <w:sz w:val="22"/>
          <w:szCs w:val="22"/>
        </w:rPr>
        <w:t xml:space="preserve">Cross-Dataset-Verknüpfung</w:t>
      </w:r>
      <w:r>
        <w:rPr>
          <w:sz w:val="22"/>
          <w:szCs w:val="22"/>
        </w:rPr>
        <w:t xml:space="preserve"> — zwei Datensätze, die dieselbe Ensembl-ID nennen, verbinden sich automatisch. Das ist die „Eindeutigkeit“ im engeren Sinn.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2100"/>
        <w:gridCol w:w="24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Entität</w:t>
            </w:r>
          </w:p>
        </w:tc>
        <w:tc>
          <w:tcPr>
            <w:tcW w:type="dxa" w:w="28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Eindeutiger Schlüssel</w:t>
            </w:r>
          </w:p>
        </w:tc>
        <w:tc>
          <w:tcPr>
            <w:tcW w:type="dxa" w:w="21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Globales ID-System</w:t>
            </w:r>
          </w:p>
        </w:tc>
        <w:tc>
          <w:tcPr>
            <w:tcW w:type="dxa" w:w="2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IRI-Muster</w:t>
            </w:r>
          </w:p>
        </w:tc>
      </w:tr>
      <w:tr>
        <w:tc>
          <w:tcPr>
            <w:tcW w:type="dxa" w:w="2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Case (Fall)</w:t>
            </w:r>
          </w:p>
        </w:tc>
        <w:tc>
          <w:tcPr>
            <w:tcW w:type="dxa" w:w="28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case_id / submitter_id</w:t>
            </w:r>
          </w:p>
        </w:tc>
        <w:tc>
          <w:tcPr>
            <w:tcW w:type="dxa" w:w="2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TCGA / GDC</w:t>
            </w:r>
          </w:p>
        </w:tc>
        <w:tc>
          <w:tcPr>
            <w:tcW w:type="dxa" w:w="2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.../instance/case/&lt;id&gt;</w:t>
            </w:r>
          </w:p>
        </w:tc>
      </w:tr>
      <w:tr>
        <w:tc>
          <w:tcPr>
            <w:tcW w:type="dxa" w:w="2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Project (Kohorte)</w:t>
            </w:r>
          </w:p>
        </w:tc>
        <w:tc>
          <w:tcPr>
            <w:tcW w:type="dxa" w:w="28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GDC</w:t>
            </w:r>
          </w:p>
        </w:tc>
        <w:tc>
          <w:tcPr>
            <w:tcW w:type="dxa" w:w="2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.../instance/project/&lt;id&gt;</w:t>
            </w:r>
          </w:p>
        </w:tc>
      </w:tr>
      <w:tr>
        <w:tc>
          <w:tcPr>
            <w:tcW w:type="dxa" w:w="2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Sample / Probe</w:t>
            </w:r>
          </w:p>
        </w:tc>
        <w:tc>
          <w:tcPr>
            <w:tcW w:type="dxa" w:w="28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aliquot/sample barcode</w:t>
            </w:r>
          </w:p>
        </w:tc>
        <w:tc>
          <w:tcPr>
            <w:tcW w:type="dxa" w:w="2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TCGA</w:t>
            </w:r>
          </w:p>
        </w:tc>
        <w:tc>
          <w:tcPr>
            <w:tcW w:type="dxa" w:w="2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.../instance/sample/&lt;id&gt;</w:t>
            </w:r>
          </w:p>
        </w:tc>
      </w:tr>
      <w:tr>
        <w:tc>
          <w:tcPr>
            <w:tcW w:type="dxa" w:w="2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</w:t>
            </w:r>
          </w:p>
        </w:tc>
        <w:tc>
          <w:tcPr>
            <w:tcW w:type="dxa" w:w="28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Ensembl-ID (ENSG…)</w:t>
            </w:r>
          </w:p>
        </w:tc>
        <w:tc>
          <w:tcPr>
            <w:tcW w:type="dxa" w:w="2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Ensembl / HGNC</w:t>
            </w:r>
          </w:p>
        </w:tc>
        <w:tc>
          <w:tcPr>
            <w:tcW w:type="dxa" w:w="2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ensembl:ENSG…</w:t>
            </w:r>
          </w:p>
        </w:tc>
      </w:tr>
      <w:tr>
        <w:tc>
          <w:tcPr>
            <w:tcW w:type="dxa" w:w="2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miRNA</w:t>
            </w:r>
          </w:p>
        </w:tc>
        <w:tc>
          <w:tcPr>
            <w:tcW w:type="dxa" w:w="28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miRBase (MIMAT…)</w:t>
            </w:r>
          </w:p>
        </w:tc>
        <w:tc>
          <w:tcPr>
            <w:tcW w:type="dxa" w:w="21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miRBase</w:t>
            </w:r>
          </w:p>
        </w:tc>
        <w:tc>
          <w:tcPr>
            <w:tcW w:type="dxa" w:w="2400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mirbase:MIMAT…</w:t>
            </w:r>
          </w:p>
        </w:tc>
      </w:tr>
      <w:tr>
        <w:tc>
          <w:tcPr>
            <w:tcW w:type="dxa" w:w="2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Protein</w:t>
            </w:r>
          </w:p>
        </w:tc>
        <w:tc>
          <w:tcPr>
            <w:tcW w:type="dxa" w:w="28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UniProt-Accession</w:t>
            </w:r>
          </w:p>
        </w:tc>
        <w:tc>
          <w:tcPr>
            <w:tcW w:type="dxa" w:w="21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UniProt</w:t>
            </w:r>
          </w:p>
        </w:tc>
        <w:tc>
          <w:tcPr>
            <w:tcW w:type="dxa" w:w="2400"/>
            <w:shd w:fill="EEF3FB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uniprot:…</w:t>
            </w:r>
          </w:p>
        </w:tc>
      </w:tr>
    </w:tbl>
    <w:p>
      <w:pPr>
        <w:spacing w:after="130" w:line="280"/>
      </w:pPr>
      <w:r>
        <w:rPr>
          <w:sz w:val="22"/>
          <w:szCs w:val="22"/>
        </w:rPr>
        <w:t xml:space="preserve">Aktuell umgesetzt: Case/Project/Demographic/Diagnosis (Schlüssel aus GDC-IDs). Gen/miRNA/Protein/Sample kommen mit der TBox-Erweiterung — und genau hier ist die Absprache mit dem Wrapper entscheidend, damit er diese IDs mitliefert.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Zusammenspiel der drei Ebenen (durchgerechnet)</w:t>
      </w:r>
    </w:p>
    <w:p>
      <w:pPr>
        <w:spacing w:after="130" w:line="280"/>
      </w:pPr>
      <w:r>
        <w:rPr>
          <w:sz w:val="22"/>
          <w:szCs w:val="22"/>
        </w:rPr>
        <w:t xml:space="preserve">Ein einzelner Fall zeigt alle drei Ebenen gleichzeitig:</w:t>
      </w:r>
    </w:p>
    <w:p>
      <w:pPr>
        <w:pBdr>
          <w:top w:val="single" w:color="D0D5DD" w:sz="4" w:space="4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db:case-TCGA-A1-A0SB a db:Case ;                    # E3: IRI aus submitter_id  |  E2: Klasse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db:submitterId "TCGA-A1-A0SB" ;                 # E2: Datatype-Property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db:belongsToProject db:project-TCGA-BRCA ;       # E2: Object-Property (Relation)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db:hasDiagnosis db:diag-d-11111111 .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db:diag-d-11111111 a db:Diagnosis ;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db:primaryDiagnosisLabel "Infiltrating duct carcinoma, NOS" ;   # Rohwert</w:t>
      </w:r>
    </w:p>
    <w:p>
      <w:pPr>
        <w:shd w:fill="F3F4F6" w:color="auto" w:val="clear"/>
        <w:spacing w:after="0" w:before="0" w:line="250"/>
      </w:pPr>
      <w:r>
        <w:rPr>
          <w:rFonts w:ascii="Consolas" w:cs="Consolas" w:eastAsia="Consolas" w:hAnsi="Consolas"/>
          <w:color w:val="1A2B3C"/>
          <w:sz w:val="18"/>
          <w:szCs w:val="18"/>
        </w:rPr>
        <w:t xml:space="preserve">    db:primaryDiagnosis ncit:C4194 .                 # E1: Alignment auf globales NCIt-Konzept</w:t>
      </w:r>
    </w:p>
    <w:p>
      <w:pPr>
        <w:spacing w:after="130" w:line="280"/>
      </w:pPr>
      <w:r>
        <w:rPr>
          <w:sz w:val="22"/>
          <w:szCs w:val="22"/>
        </w:rPr>
        <w:t xml:space="preserve">E3 sorgt dafür, dass dieser Fall überall derselbe Knoten ist; E2 gibt ihm Struktur; E1 verbindet seine Diagnose mit der weltweiten Onkologie-Terminologie.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Was der Wrapper dafür liefern muss</w:t>
      </w:r>
    </w:p>
    <w:p>
      <w:pPr>
        <w:spacing w:after="130" w:line="280"/>
      </w:pPr>
      <w:r>
        <w:rPr>
          <w:sz w:val="22"/>
          <w:szCs w:val="22"/>
        </w:rPr>
        <w:t xml:space="preserve">Damit die drei Ebenen greifen, muss der GDC-Wrapper je Fall mindestens folgende Felder ausgeben (Kern-Ausschnitt, erweiterbar):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Identität (E3): </w:t>
      </w:r>
      <w:r>
        <w:rPr>
          <w:rFonts w:ascii="Consolas" w:cs="Consolas" w:eastAsia="Consolas" w:hAnsi="Consolas"/>
          <w:sz w:val="20"/>
          <w:szCs w:val="20"/>
        </w:rPr>
        <w:t xml:space="preserve">case_id</w:t>
      </w:r>
      <w:r>
        <w:rPr>
          <w:sz w:val="22"/>
          <w:szCs w:val="22"/>
        </w:rPr>
        <w:t xml:space="preserve"> und </w:t>
      </w:r>
      <w:r>
        <w:rPr>
          <w:rFonts w:ascii="Consolas" w:cs="Consolas" w:eastAsia="Consolas" w:hAnsi="Consolas"/>
          <w:sz w:val="20"/>
          <w:szCs w:val="20"/>
        </w:rPr>
        <w:t xml:space="preserve">submitter_id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diagnoses[].diagnosis_id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project.project_id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Attribute (E2): </w:t>
      </w:r>
      <w:r>
        <w:rPr>
          <w:rFonts w:ascii="Consolas" w:cs="Consolas" w:eastAsia="Consolas" w:hAnsi="Consolas"/>
          <w:sz w:val="20"/>
          <w:szCs w:val="20"/>
        </w:rPr>
        <w:t xml:space="preserve">demographic.gender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diagnoses[].age_at_diagnosis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Alignment-Werte (E1): </w:t>
      </w:r>
      <w:r>
        <w:rPr>
          <w:rFonts w:ascii="Consolas" w:cs="Consolas" w:eastAsia="Consolas" w:hAnsi="Consolas"/>
          <w:sz w:val="20"/>
          <w:szCs w:val="20"/>
        </w:rPr>
        <w:t xml:space="preserve">diagnoses[].primary_diagnosis</w:t>
      </w:r>
      <w:r>
        <w:rPr>
          <w:sz w:val="22"/>
          <w:szCs w:val="22"/>
        </w:rPr>
        <w:t xml:space="preserve"> (Text exakt wie von GDC).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Für spätere Ausbaustufen: </w:t>
      </w:r>
      <w:r>
        <w:rPr>
          <w:sz w:val="22"/>
          <w:szCs w:val="22"/>
        </w:rPr>
        <w:t xml:space="preserve">Genexpression mit </w:t>
      </w:r>
      <w:r>
        <w:rPr>
          <w:rFonts w:ascii="Consolas" w:cs="Consolas" w:eastAsia="Consolas" w:hAnsi="Consolas"/>
          <w:sz w:val="20"/>
          <w:szCs w:val="20"/>
        </w:rPr>
        <w:t xml:space="preserve">Ensembl-IDs</w:t>
      </w:r>
      <w:r>
        <w:rPr>
          <w:sz w:val="22"/>
          <w:szCs w:val="22"/>
        </w:rPr>
        <w:t xml:space="preserve">, miRNA mit </w:t>
      </w:r>
      <w:r>
        <w:rPr>
          <w:rFonts w:ascii="Consolas" w:cs="Consolas" w:eastAsia="Consolas" w:hAnsi="Consolas"/>
          <w:sz w:val="20"/>
          <w:szCs w:val="20"/>
        </w:rPr>
        <w:t xml:space="preserve">miRBase-Accessions</w:t>
      </w:r>
      <w:r>
        <w:rPr>
          <w:sz w:val="22"/>
          <w:szCs w:val="22"/>
        </w:rPr>
        <w:t xml:space="preserve">, Sample-/Aliquot-Barcodes — damit E3 auch für die biologischen Entitäten trägt.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Offene Punkte &amp; nächste Schritte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E1: </w:t>
      </w:r>
      <w:r>
        <w:rPr>
          <w:sz w:val="22"/>
          <w:szCs w:val="22"/>
        </w:rPr>
        <w:t xml:space="preserve">die vorkommenden </w:t>
      </w:r>
      <w:r>
        <w:rPr>
          <w:rFonts w:ascii="Consolas" w:cs="Consolas" w:eastAsia="Consolas" w:hAnsi="Consolas"/>
          <w:sz w:val="20"/>
          <w:szCs w:val="20"/>
        </w:rPr>
        <w:t xml:space="preserve">primary_diagnosis</w:t>
      </w:r>
      <w:r>
        <w:rPr>
          <w:sz w:val="22"/>
          <w:szCs w:val="22"/>
        </w:rPr>
        <w:t xml:space="preserve">-Werte ermitteln (SPARQL) und ihre verifizierten NCIt-Codes eintragen.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E2/E3: </w:t>
      </w:r>
      <w:r>
        <w:rPr>
          <w:sz w:val="22"/>
          <w:szCs w:val="22"/>
        </w:rPr>
        <w:t xml:space="preserve">TBox um Sample/Genexpression/miRNA/Methylierung erweitern und die zugehörigen ID-Systeme (Ensembl/miRBase/UniProt) festlegen.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 xml:space="preserve">diese Tabellen mit Wrapper (A) und Mediator (B) abstimmen — sie sind der gemeinsame Übergabe-Vertrag.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30"/>
          <w:szCs w:val="30"/>
        </w:rPr>
        <w:t xml:space="preserve">Referenzen (globale ID-/Ontologie-Systeme)</w:t>
      </w:r>
    </w:p>
    <w:p>
      <w:pPr>
        <w:pStyle w:val="ListParagraph"/>
        <w:numPr>
          <w:ilvl w:val="0"/>
          <w:numId w:val="1"/>
        </w:numPr>
        <w:spacing w:after="70"/>
      </w:pPr>
      <w:hyperlink w:history="1" r:id="rIdt6lfuyqz2uopcmbe27efc">
        <w:r>
          <w:rPr>
            <w:color w:val="2E74B5"/>
            <w:sz w:val="22"/>
            <w:szCs w:val="22"/>
            <w:u w:val="single"/>
          </w:rPr>
          <w:t xml:space="preserve">NCI Thesaurus (NCIt) — EBI OLS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mxou7rzil04mzm3fllrae">
        <w:r>
          <w:rPr>
            <w:color w:val="2E74B5"/>
            <w:sz w:val="22"/>
            <w:szCs w:val="22"/>
            <w:u w:val="single"/>
          </w:rPr>
          <w:t xml:space="preserve">Disease Ontology (DOID)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cpw-tlc7clttjgn-znk5s">
        <w:r>
          <w:rPr>
            <w:color w:val="2E74B5"/>
            <w:sz w:val="22"/>
            <w:szCs w:val="22"/>
            <w:u w:val="single"/>
          </w:rPr>
          <w:t xml:space="preserve">Gene Ontology (GO)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3l317ecjchthdts8oegow">
        <w:r>
          <w:rPr>
            <w:color w:val="2E74B5"/>
            <w:sz w:val="22"/>
            <w:szCs w:val="22"/>
            <w:u w:val="single"/>
          </w:rPr>
          <w:t xml:space="preserve">Sequence Ontology (SO)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llz98q5jakwmsn-c_xcld">
        <w:r>
          <w:rPr>
            <w:color w:val="2E74B5"/>
            <w:sz w:val="22"/>
            <w:szCs w:val="22"/>
            <w:u w:val="single"/>
          </w:rPr>
          <w:t xml:space="preserve">Uberon (Anatomie)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qn7alzgzt2oq3aux-3j-k">
        <w:r>
          <w:rPr>
            <w:color w:val="2E74B5"/>
            <w:sz w:val="22"/>
            <w:szCs w:val="22"/>
            <w:u w:val="single"/>
          </w:rPr>
          <w:t xml:space="preserve">Ensembl (Gen-IDs)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uzksbmmixlixhnemadwdo">
        <w:r>
          <w:rPr>
            <w:color w:val="2E74B5"/>
            <w:sz w:val="22"/>
            <w:szCs w:val="22"/>
            <w:u w:val="single"/>
          </w:rPr>
          <w:t xml:space="preserve">miRBase (miRNA)</w:t>
        </w:r>
      </w:hyperlink>
    </w:p>
    <w:p>
      <w:pPr>
        <w:pStyle w:val="ListParagraph"/>
        <w:numPr>
          <w:ilvl w:val="0"/>
          <w:numId w:val="1"/>
        </w:numPr>
        <w:spacing w:after="70"/>
      </w:pPr>
      <w:hyperlink w:history="1" r:id="rIdxcvt3pzwpqt_wi2a6adcc">
        <w:r>
          <w:rPr>
            <w:color w:val="2E74B5"/>
            <w:sz w:val="22"/>
            <w:szCs w:val="22"/>
            <w:u w:val="single"/>
          </w:rPr>
          <w:t xml:space="preserve">UniProt (Proteine)</w:t>
        </w:r>
      </w:hyperlink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6lfuyqz2uopcmbe27efc" Type="http://schemas.openxmlformats.org/officeDocument/2006/relationships/hyperlink" Target="https://www.ebi.ac.uk/ols4/ontologies/ncit" TargetMode="External"/><Relationship Id="rIdmxou7rzil04mzm3fllrae" Type="http://schemas.openxmlformats.org/officeDocument/2006/relationships/hyperlink" Target="https://disease-ontology.org" TargetMode="External"/><Relationship Id="rIdcpw-tlc7clttjgn-znk5s" Type="http://schemas.openxmlformats.org/officeDocument/2006/relationships/hyperlink" Target="https://geneontology.org" TargetMode="External"/><Relationship Id="rId3l317ecjchthdts8oegow" Type="http://schemas.openxmlformats.org/officeDocument/2006/relationships/hyperlink" Target="http://www.sequenceontology.org" TargetMode="External"/><Relationship Id="rIdllz98q5jakwmsn-c_xcld" Type="http://schemas.openxmlformats.org/officeDocument/2006/relationships/hyperlink" Target="https://obophenotype.github.io/uberon/" TargetMode="External"/><Relationship Id="rIdqn7alzgzt2oq3aux-3j-k" Type="http://schemas.openxmlformats.org/officeDocument/2006/relationships/hyperlink" Target="https://www.ensembl.org" TargetMode="External"/><Relationship Id="rIduzksbmmixlixhnemadwdo" Type="http://schemas.openxmlformats.org/officeDocument/2006/relationships/hyperlink" Target="https://www.mirbase.org" TargetMode="External"/><Relationship Id="rIdxcvt3pzwpqt_wi2a6adcc" Type="http://schemas.openxmlformats.org/officeDocument/2006/relationships/hyperlink" Target="https://www.uniprot.org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Globale &amp; eindeutige Zuordnung — Mapping-Spezifikation</dc:title>
  <dc:creator>DataBridge / Marcel Thiel</dc:creator>
  <cp:lastModifiedBy>Un-named</cp:lastModifiedBy>
  <cp:revision>1</cp:revision>
  <dcterms:created xsi:type="dcterms:W3CDTF">2026-08-26T06:11:26.502Z</dcterms:created>
  <dcterms:modified xsi:type="dcterms:W3CDTF">2026-08-26T06:11:26.512Z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