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levando-o-laboratório-para-outra-máquina"/>
    <w:p>
      <w:pPr>
        <w:pStyle w:val="Heading1"/>
      </w:pPr>
      <w:r>
        <w:t xml:space="preserve">Levando o laboratório para outra máquina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 "instalar e rodar em outro computador".</w:t>
      </w:r>
    </w:p>
    <w:p>
      <w:r>
        <w:pict>
          <v:rect style="width:0;height:1.5pt" o:hralign="center" o:hrstd="t" o:hr="t"/>
        </w:pict>
      </w:r>
    </w:p>
    <w:bookmarkStart w:id="9" w:name="X750f4fbe80113ff950473d9c0dd00c838766e23"/>
    <w:p>
      <w:pPr>
        <w:pStyle w:val="Heading2"/>
      </w:pPr>
      <w:r>
        <w:t xml:space="preserve">1. O que copiar</w:t>
      </w:r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O repositório está no GitHub (público), então o jeito mais simples é clonar: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git@github.com:ScaTecnologia/laboratorio-claude-code.git      </w:t>
      </w:r>
      <w:r>
        <w:rPr>
          <w:rStyle w:val="CommentTok"/>
        </w:rPr>
        <w:t xml:space="preserve"># SSH (precisa da chave cadastrada, ver seção 7)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https://github.com/ScaTecnologia/laboratorio-claude-code.git  </w:t>
      </w:r>
      <w:r>
        <w:rPr>
          <w:rStyle w:val="CommentTok"/>
        </w:rPr>
        <w:t xml:space="preserve"># HTTPS (só leitura sem login)</w:t>
      </w:r>
    </w:p>
    <w:p>
      <w:pPr>
        <w:pStyle w:val="FirstParagraph"/>
      </w:pPr>
      <w:r>
        <w:t xml:space="preserve">Os materiais de curso (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Aula3_*</w:t>
      </w:r>
      <w:r>
        <w:t xml:space="preserve"> </w:t>
      </w:r>
      <w:r>
        <w:t xml:space="preserve">etc.)</w:t>
      </w:r>
      <w:r>
        <w:t xml:space="preserve"> </w:t>
      </w:r>
      <w:r>
        <w:rPr>
          <w:b/>
          <w:bCs/>
        </w:rPr>
        <w:t xml:space="preserve">não estão no Git</w:t>
      </w:r>
      <w:r>
        <w:t xml:space="preserve"> </w:t>
      </w:r>
      <w:r>
        <w:t xml:space="preserve">(ficam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— se precisar deles, copie à parte.</w:t>
      </w:r>
    </w:p>
    <w:p>
      <w:pPr>
        <w:pStyle w:val="BlockText"/>
      </w:pPr>
      <w:r>
        <w:rPr>
          <w:b/>
          <w:bCs/>
        </w:rPr>
        <w:t xml:space="preserve">Não copie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node_modules/</w:t>
      </w:r>
      <w:r>
        <w:rPr>
          <w:b/>
          <w:bCs/>
        </w:rPr>
        <w:t xml:space="preserve"> </w:t>
      </w:r>
      <w:r>
        <w:rPr>
          <w:b/>
          <w:bCs/>
        </w:rPr>
        <w:t xml:space="preserve">entre sistemas operacionais</w:t>
      </w:r>
      <w:r>
        <w:t xml:space="preserve"> </w:t>
      </w:r>
      <w:r>
        <w:t xml:space="preserve">(ex.: Windows → Linux): os binários em</w:t>
      </w:r>
      <w:r>
        <w:t xml:space="preserve"> </w:t>
      </w:r>
      <w:r>
        <w:rPr>
          <w:rStyle w:val="VerbatimChar"/>
        </w:rPr>
        <w:t xml:space="preserve">node_modules/.bin/</w:t>
      </w:r>
      <w:r>
        <w:t xml:space="preserve"> </w:t>
      </w:r>
      <w:r>
        <w:t xml:space="preserve">perdem a permissão de execução e o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passa a usar um ESLint antigo do sistema, com erro de configuração. Sempre recrie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bookmarkEnd w:id="9"/>
    <w:bookmarkStart w:id="10" w:name="Xb62db81af8e84b527ed5070e6a1d4033b39cbb3"/>
    <w:p>
      <w:pPr>
        <w:pStyle w:val="Heading2"/>
      </w:pPr>
      <w:r>
        <w:t xml:space="preserve">2. Pré-requisitos na máquina nova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 usada neste laboratório</w:t>
            </w:r>
          </w:p>
        </w:tc>
        <w:tc>
          <w:tcPr/>
          <w:p>
            <w:pPr>
              <w:pStyle w:val="Compact"/>
            </w:pPr>
            <w:r>
              <w:t xml:space="preserve">Como checar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qualquer recente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tcPr/>
          <w:p>
            <w:pPr>
              <w:pStyle w:val="Compac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recomendado — sobe Postgres + Node + Python com um comando (ver seção 6). Seu usuário precisa estar no grupo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recomendado — usado para rulesets, board, PRs. Sem sudo: baixar o binário oficial de github.com/cli/cli/releases (conferindo o checksum)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bookmarkEnd w:id="10"/>
    <w:bookmarkStart w:id="11" w:name="Xfb231743fd53293a17e4ac202c14330480d88ee"/>
    <w:p>
      <w:pPr>
        <w:pStyle w:val="Heading2"/>
      </w:pPr>
      <w:r>
        <w:t xml:space="preserve">3. Instalar dependências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pip-audit. Prefira um venv: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</w:p>
    <w:p>
      <w:pPr>
        <w:pStyle w:val="FirstParagraph"/>
      </w:pPr>
      <w:r>
        <w:t xml:space="preserve">Se o Python do sistema não tiver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</w:t>
      </w:r>
      <w:r>
        <w:rPr>
          <w:rStyle w:val="VerbatimChar"/>
        </w:rPr>
        <w:t xml:space="preserve">pip</w:t>
      </w:r>
      <w:r>
        <w:t xml:space="preserve"> </w:t>
      </w:r>
      <w:r>
        <w:t xml:space="preserve">(comum no Ubuntu sem o pacote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) e você não puder instalar, rode as ferramentas Python num container descartável — é o que foi feito na máquina Linux em 2026-09-24: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:/app:ro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PYTHONDONTWRITEBYTECODE=1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requirements-dev.txt &amp;&amp; flake8 src/ tests/ --config=.flake8 &amp;&amp; pytest tests/ -q -p no:cacheprovider &amp;&amp; bandit -r src/ -q"</w:t>
      </w:r>
    </w:p>
    <w:bookmarkEnd w:id="11"/>
    <w:bookmarkStart w:id="12" w:name="X5d8c5e20cd2eb5bdf054b347bf059f169628238"/>
    <w:p>
      <w:pPr>
        <w:pStyle w:val="Heading2"/>
      </w:pPr>
      <w:r>
        <w:t xml:space="preserve">4. Banco de dados</w:t>
      </w:r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Docker</w:t>
      </w:r>
      <w:r>
        <w:t xml:space="preserve"> </w:t>
      </w:r>
      <w:r>
        <w:t xml:space="preserve">(recomendado):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que sobe um Postgres na porta certa (publicado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postgres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(não precisa subir os outros serviços do compose só para rodar os testes locais)</w:t>
      </w:r>
    </w:p>
    <w:bookmarkEnd w:id="12"/>
    <w:bookmarkStart w:id="13" w:name="Xbc451646d1ba95e3f6550b080dd175b22642b12"/>
    <w:p>
      <w:pPr>
        <w:pStyle w:val="Heading2"/>
      </w:pPr>
      <w:r>
        <w:t xml:space="preserve">5. Verificar que está tudo igual — rode a mesma bateria desta sessão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</w:t>
      </w:r>
      <w:r>
        <w:rPr>
          <w:rStyle w:val="CommentTok"/>
        </w:rPr>
        <w:t xml:space="preserve"># esperado: 0 problemas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</w:t>
      </w:r>
      <w:r>
        <w:rPr>
          <w:rStyle w:val="CommentTok"/>
        </w:rPr>
        <w:t xml:space="preserve">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</w:t>
      </w:r>
      <w:r>
        <w:rPr>
          <w:rStyle w:val="CommentTok"/>
        </w:rPr>
        <w:t xml:space="preserve">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     </w:t>
      </w:r>
      <w:r>
        <w:rPr>
          <w:rStyle w:val="CommentTok"/>
        </w:rPr>
        <w:t xml:space="preserve">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src/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bookmarkEnd w:id="13"/>
    <w:bookmarkStart w:id="14" w:name="Xab1728b150b1d5fc7f6241033274e0c49246003"/>
    <w:p>
      <w:pPr>
        <w:pStyle w:val="Heading2"/>
      </w:pPr>
      <w:r>
        <w:t xml:space="preserve">6. Rodar a aplicação</w:t>
      </w:r>
    </w:p>
    <w:p>
      <w:pPr>
        <w:pStyle w:val="FirstParagraph"/>
      </w:pPr>
      <w:r>
        <w:rPr>
          <w:b/>
          <w:bCs/>
        </w:rPr>
        <w:t xml:space="preserve">Com Docker</w:t>
      </w:r>
      <w:r>
        <w:t xml:space="preserve"> </w:t>
      </w:r>
      <w:r>
        <w:t xml:space="preserve">(tudo de uma vez):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postgres (5151), node (3000),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</w:t>
      </w:r>
      <w:r>
        <w:rPr>
          <w:rStyle w:val="CommentTok"/>
        </w:rPr>
        <w:t xml:space="preserve"># derrubar</w:t>
      </w:r>
    </w:p>
    <w:p>
      <w:pPr>
        <w:pStyle w:val="FirstParagraph"/>
      </w:pPr>
      <w:r>
        <w:rPr>
          <w:b/>
          <w:bCs/>
        </w:rPr>
        <w:t xml:space="preserve">Sem Docker</w:t>
      </w:r>
      <w:r>
        <w:t xml:space="preserve"> </w:t>
      </w:r>
      <w:r>
        <w:t xml:space="preserve">(Postgres local na 5151 já rodando):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</w:t>
      </w:r>
      <w:r>
        <w:rPr>
          <w:rStyle w:val="CommentTok"/>
        </w:rPr>
        <w:t xml:space="preserve">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</w:t>
      </w:r>
      <w:r>
        <w:rPr>
          <w:rStyle w:val="CommentTok"/>
        </w:rPr>
        <w:t xml:space="preserve"># terminal 2 — porta 3001</w:t>
      </w:r>
    </w:p>
    <w:p>
      <w:pPr>
        <w:pStyle w:val="FirstParagraph"/>
      </w:pPr>
      <w:r>
        <w:t xml:space="preserve">Não rode as duas formas ao mesmo tempo — elas disputam as portas 3000, 3001 e 5151.</w:t>
      </w:r>
    </w:p>
    <w:p>
      <w:pPr>
        <w:pStyle w:val="BodyText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14"/>
    <w:bookmarkStart w:id="15" w:name="X28b96c12804386aa281362e0edfb1d025117bfc"/>
    <w:p>
      <w:pPr>
        <w:pStyle w:val="Heading2"/>
      </w:pPr>
      <w:r>
        <w:t xml:space="preserve">7. O que reconfigurar (não é copiado automaticamente)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  <w:tc>
          <w:tcPr/>
          <w:p>
            <w:pPr>
              <w:pStyle w:val="Compact"/>
            </w:pPr>
            <w:r>
              <w:t xml:space="preserve">Onde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</w:t>
            </w:r>
          </w:p>
        </w:tc>
        <w:tc>
          <w:tcPr/>
          <w:p>
            <w:pPr>
              <w:pStyle w:val="Compact"/>
            </w:pPr>
            <w:r>
              <w:t xml:space="preserve">Cada máquina tem a sua. Gere com</w:t>
            </w:r>
            <w:r>
              <w:t xml:space="preserve"> </w:t>
            </w:r>
            <w:r>
              <w:rPr>
                <w:rStyle w:val="VerbatimChar"/>
              </w:rPr>
              <w:t xml:space="preserve">ssh-keygen -t ed25519 -C "seu@email"</w:t>
            </w:r>
            <w:r>
              <w:t xml:space="preserve"> </w:t>
            </w:r>
            <w:r>
              <w:t xml:space="preserve">e cadastre o</w:t>
            </w:r>
            <w:r>
              <w:t xml:space="preserve"> </w:t>
            </w:r>
            <w:r>
              <w:rPr>
                <w:rStyle w:val="VerbatimChar"/>
              </w:rPr>
              <w:t xml:space="preserve">.pub</w:t>
            </w:r>
            <w:r>
              <w:t xml:space="preserve"> </w:t>
            </w:r>
            <w:r>
              <w:t xml:space="preserve">em GitHub → Settings → SSH and GPG keys</w:t>
            </w:r>
          </w:p>
        </w:tc>
        <w:tc>
          <w:tcPr/>
          <w:p>
            <w:pPr>
              <w:pStyle w:val="Compact"/>
            </w:pPr>
            <w:r>
              <w:t xml:space="preserve">Teste:</w:t>
            </w:r>
            <w:r>
              <w:t xml:space="preserve"> </w:t>
            </w:r>
            <w:r>
              <w:rPr>
                <w:rStyle w:val="VerbatimChar"/>
              </w:rPr>
              <w:t xml:space="preserve">ssh -T git@github.com</w:t>
            </w:r>
            <w:r>
              <w:t xml:space="preserve"> </w:t>
            </w:r>
            <w:r>
              <w:t xml:space="preserve">(fingerprint oficial do GitHub:</w:t>
            </w:r>
            <w:r>
              <w:t xml:space="preserve"> </w:t>
            </w:r>
            <w:r>
              <w:rPr>
                <w:rStyle w:val="VerbatimChar"/>
              </w:rPr>
              <w:t xml:space="preserve">SHA256:+DiY3wvvV6TuJJhbpZisF/zLDA0zPMSvHdkr4UvCOqU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 token fica no keyring da máquina, não no repositório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 -h github.com -p ssh --skip-ssh-key -w -s project,admin:repo_hook,workflow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Ruleset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 Dependabot, CodeQL, board Kanban</w:t>
            </w:r>
          </w:p>
        </w:tc>
        <w:tc>
          <w:tcPr/>
          <w:p>
            <w:pPr>
              <w:pStyle w:val="Compact"/>
            </w:pPr>
            <w:r>
              <w:t xml:space="preserve">São configurações do</w:t>
            </w:r>
            <w:r>
              <w:t xml:space="preserve"> </w:t>
            </w:r>
            <w:r>
              <w:rPr>
                <w:b/>
                <w:bCs/>
              </w:rPr>
              <w:t xml:space="preserve">repositório no GitHub</w:t>
            </w:r>
            <w:r>
              <w:t xml:space="preserve">, não da máquina — já estão feitas, não precisa repetir</w:t>
            </w:r>
          </w:p>
        </w:tc>
        <w:tc>
          <w:tcPr/>
          <w:p>
            <w:pPr>
              <w:pStyle w:val="Compact"/>
            </w:pPr>
            <w:r>
              <w:t xml:space="preserve">Conferir em</w:t>
            </w:r>
            <w:r>
              <w:t xml:space="preserve"> </w:t>
            </w:r>
            <w:r>
              <w:rPr>
                <w:rStyle w:val="VerbatimChar"/>
              </w:rPr>
              <w:t xml:space="preserve">Settings → 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Code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Credenciais/segredos reais (se algum dia houver)</w:t>
            </w:r>
          </w:p>
        </w:tc>
        <w:tc>
          <w:tcPr/>
          <w:p>
            <w:pPr>
              <w:pStyle w:val="Compact"/>
            </w:pPr>
            <w:r>
              <w:t xml:space="preserve">Nunca ficam no 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bookmarkEnd w:id="15"/>
    <w:bookmarkStart w:id="16" w:name="X1aa94aa7aba5ee8771d2236eaea2778e783c682"/>
    <w:p>
      <w:pPr>
        <w:pStyle w:val="Heading2"/>
      </w:pPr>
      <w:r>
        <w:t xml:space="preserve">8. Se este era um clone via OneDrive/pasta sincronizada</w:t>
      </w:r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2026-09-24T22:52:56Z</dcterms:created>
  <dcterms:modified xsi:type="dcterms:W3CDTF">2026-09-24T22:52:56Z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