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F140E" w14:textId="77777777" w:rsidR="00D234FB" w:rsidRPr="000E4374" w:rsidRDefault="00D234FB" w:rsidP="00D234FB">
      <w:pPr>
        <w:tabs>
          <w:tab w:val="left" w:pos="6400"/>
        </w:tabs>
        <w:jc w:val="center"/>
        <w:rPr>
          <w:rFonts w:ascii="Calibri" w:eastAsia="Times New Roman" w:hAnsi="Calibri" w:cs="Times New Roman"/>
          <w:b/>
          <w:color w:val="365F91" w:themeColor="accent1" w:themeShade="BF"/>
          <w:kern w:val="20"/>
          <w:sz w:val="28"/>
          <w:szCs w:val="22"/>
          <w:lang w:eastAsia="en-US"/>
        </w:rPr>
      </w:pPr>
      <w:r w:rsidRPr="000E4374">
        <w:rPr>
          <w:rFonts w:ascii="Calibri" w:eastAsia="Times New Roman" w:hAnsi="Calibri" w:cs="Times New Roman"/>
          <w:b/>
          <w:color w:val="365F91" w:themeColor="accent1" w:themeShade="BF"/>
          <w:kern w:val="20"/>
          <w:sz w:val="28"/>
          <w:szCs w:val="22"/>
          <w:lang w:eastAsia="en-US"/>
        </w:rPr>
        <w:t>DOCUMENTO CONTENENTE LE INFORMAZIONI CHIAVE</w:t>
      </w:r>
    </w:p>
    <w:p w14:paraId="39C10CAB" w14:textId="77777777" w:rsidR="00D234FB" w:rsidRPr="000E4374" w:rsidRDefault="00D234FB" w:rsidP="00D234FB">
      <w:pPr>
        <w:tabs>
          <w:tab w:val="left" w:pos="6400"/>
        </w:tabs>
        <w:rPr>
          <w:rFonts w:ascii="Calibri" w:eastAsia="Times New Roman" w:hAnsi="Calibri" w:cs="Times New Roman"/>
          <w:b/>
          <w:color w:val="365F91" w:themeColor="accent1" w:themeShade="BF"/>
          <w:kern w:val="20"/>
          <w:sz w:val="22"/>
          <w:szCs w:val="22"/>
          <w:lang w:eastAsia="en-US"/>
        </w:rPr>
      </w:pPr>
      <w:r w:rsidRPr="000E4374">
        <w:rPr>
          <w:rFonts w:ascii="Calibri" w:eastAsia="Times New Roman" w:hAnsi="Calibri" w:cs="Times New Roman"/>
          <w:b/>
          <w:color w:val="365F91" w:themeColor="accent1" w:themeShade="BF"/>
          <w:kern w:val="20"/>
          <w:sz w:val="22"/>
          <w:szCs w:val="22"/>
          <w:lang w:eastAsia="en-US"/>
        </w:rPr>
        <w:t>SCOPO</w:t>
      </w:r>
    </w:p>
    <w:p w14:paraId="3E0FBCB6" w14:textId="77777777" w:rsidR="00D234FB" w:rsidRPr="003F742A" w:rsidRDefault="00D234FB" w:rsidP="00D234FB">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Il presente documento contiene informazioni chiave relative a questo prodotto d'investimento. Non si tratta di un documento promozionale. Le informazioni, prescritte per legge, hanno lo scopo di aiutarvi a capire le caratteristiche, i rischi, i costi, i guadagni e le perdite potenziali di questo prodotto e di aiutarvi a fare un raffronto con altri prodotti d'investimento.</w:t>
      </w:r>
    </w:p>
    <w:p w14:paraId="7CC75B9E" w14:textId="77777777" w:rsidR="00D234FB" w:rsidRPr="003F742A" w:rsidRDefault="00D234FB" w:rsidP="00D234FB">
      <w:pPr>
        <w:tabs>
          <w:tab w:val="left" w:pos="6400"/>
        </w:tabs>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p>
    <w:p w14:paraId="0712C3DF" w14:textId="77777777" w:rsidR="00D234FB" w:rsidRPr="003F742A" w:rsidRDefault="00D234FB" w:rsidP="00D234FB">
      <w:pPr>
        <w:tabs>
          <w:tab w:val="left" w:pos="6400"/>
        </w:tabs>
        <w:rPr>
          <w:rFonts w:asciiTheme="majorHAnsi" w:eastAsia="Times New Roman" w:hAnsiTheme="majorHAnsi" w:cstheme="majorHAnsi"/>
          <w:b/>
          <w:color w:val="365F91" w:themeColor="accent1" w:themeShade="BF"/>
          <w:kern w:val="20"/>
          <w:sz w:val="20"/>
          <w:szCs w:val="20"/>
          <w:lang w:eastAsia="en-US"/>
        </w:rPr>
      </w:pPr>
      <w:r w:rsidRPr="003F742A">
        <w:rPr>
          <w:rFonts w:asciiTheme="majorHAnsi" w:eastAsia="Times New Roman" w:hAnsiTheme="majorHAnsi" w:cstheme="majorHAnsi"/>
          <w:b/>
          <w:color w:val="365F91" w:themeColor="accent1" w:themeShade="BF"/>
          <w:kern w:val="20"/>
          <w:sz w:val="20"/>
          <w:szCs w:val="20"/>
          <w:lang w:eastAsia="en-US"/>
        </w:rPr>
        <w:t>PRODOTTO</w:t>
      </w:r>
    </w:p>
    <w:tbl>
      <w:tblPr>
        <w:tblStyle w:val="Grigliatabella"/>
        <w:tblW w:w="10201" w:type="dxa"/>
        <w:tblLook w:val="04A0" w:firstRow="1" w:lastRow="0" w:firstColumn="1" w:lastColumn="0" w:noHBand="0" w:noVBand="1"/>
      </w:tblPr>
      <w:tblGrid>
        <w:gridCol w:w="3114"/>
        <w:gridCol w:w="7087"/>
      </w:tblGrid>
      <w:tr w:rsidR="00D234FB" w:rsidRPr="003F742A" w14:paraId="07BB9E6E" w14:textId="77777777" w:rsidTr="00746755">
        <w:tc>
          <w:tcPr>
            <w:tcW w:w="3114" w:type="dxa"/>
            <w:shd w:val="clear" w:color="auto" w:fill="F2F2F2" w:themeFill="background1" w:themeFillShade="F2"/>
          </w:tcPr>
          <w:p w14:paraId="75F10512" w14:textId="77777777" w:rsidR="00D234FB" w:rsidRPr="003F742A" w:rsidRDefault="00D234FB" w:rsidP="00746755">
            <w:pPr>
              <w:tabs>
                <w:tab w:val="left" w:pos="6400"/>
              </w:tabs>
              <w:rPr>
                <w:rFonts w:asciiTheme="majorHAnsi" w:eastAsia="Times New Roman" w:hAnsiTheme="majorHAnsi" w:cstheme="majorHAnsi"/>
                <w:b/>
                <w:color w:val="365F91" w:themeColor="accent1" w:themeShade="BF"/>
                <w:kern w:val="20"/>
                <w:sz w:val="20"/>
                <w:szCs w:val="20"/>
                <w:lang w:eastAsia="en-US"/>
              </w:rPr>
            </w:pPr>
            <w:r w:rsidRPr="003F742A">
              <w:rPr>
                <w:rFonts w:asciiTheme="majorHAnsi" w:eastAsia="Times New Roman" w:hAnsiTheme="majorHAnsi" w:cstheme="majorHAnsi"/>
                <w:b/>
                <w:color w:val="365F91" w:themeColor="accent1" w:themeShade="BF"/>
                <w:kern w:val="20"/>
                <w:sz w:val="20"/>
                <w:szCs w:val="20"/>
                <w:lang w:eastAsia="en-US"/>
              </w:rPr>
              <w:t>Nome del prodotto:</w:t>
            </w:r>
          </w:p>
        </w:tc>
        <w:tc>
          <w:tcPr>
            <w:tcW w:w="7087" w:type="dxa"/>
          </w:tcPr>
          <w:p w14:paraId="3A5C732F" w14:textId="77777777" w:rsidR="00D234FB" w:rsidRPr="003F742A" w:rsidRDefault="00D234FB" w:rsidP="00746755">
            <w:pPr>
              <w:tabs>
                <w:tab w:val="left" w:pos="6400"/>
              </w:tabs>
              <w:rPr>
                <w:rFonts w:asciiTheme="majorHAnsi" w:eastAsia="Times New Roman" w:hAnsiTheme="majorHAnsi" w:cstheme="majorHAnsi"/>
                <w:b/>
                <w:color w:val="365F91" w:themeColor="accent1" w:themeShade="BF"/>
                <w:kern w:val="20"/>
                <w:sz w:val="20"/>
                <w:szCs w:val="20"/>
                <w:lang w:eastAsia="en-US"/>
              </w:rPr>
            </w:pPr>
            <w:proofErr w:type="spellStart"/>
            <w:r w:rsidRPr="003F742A">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Outright</w:t>
            </w:r>
            <w:proofErr w:type="spellEnd"/>
            <w:r w:rsidRPr="003F742A">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 Export</w:t>
            </w:r>
          </w:p>
        </w:tc>
      </w:tr>
      <w:tr w:rsidR="00D234FB" w:rsidRPr="003F742A" w14:paraId="337EE98E" w14:textId="77777777" w:rsidTr="00746755">
        <w:tc>
          <w:tcPr>
            <w:tcW w:w="3114" w:type="dxa"/>
            <w:shd w:val="clear" w:color="auto" w:fill="F2F2F2" w:themeFill="background1" w:themeFillShade="F2"/>
          </w:tcPr>
          <w:p w14:paraId="43B998F5" w14:textId="77777777" w:rsidR="00D234FB" w:rsidRPr="003F742A" w:rsidRDefault="00D234FB" w:rsidP="00746755">
            <w:pPr>
              <w:tabs>
                <w:tab w:val="left" w:pos="6400"/>
              </w:tabs>
              <w:rPr>
                <w:rFonts w:asciiTheme="majorHAnsi" w:eastAsia="Times New Roman" w:hAnsiTheme="majorHAnsi" w:cstheme="majorHAnsi"/>
                <w:b/>
                <w:color w:val="365F91" w:themeColor="accent1" w:themeShade="BF"/>
                <w:kern w:val="20"/>
                <w:sz w:val="20"/>
                <w:szCs w:val="20"/>
                <w:lang w:eastAsia="en-US"/>
              </w:rPr>
            </w:pPr>
            <w:r w:rsidRPr="003F742A">
              <w:rPr>
                <w:rFonts w:asciiTheme="majorHAnsi" w:eastAsia="Times New Roman" w:hAnsiTheme="majorHAnsi" w:cstheme="majorHAnsi"/>
                <w:b/>
                <w:color w:val="365F91" w:themeColor="accent1" w:themeShade="BF"/>
                <w:kern w:val="20"/>
                <w:sz w:val="20"/>
                <w:szCs w:val="20"/>
                <w:lang w:eastAsia="en-US"/>
              </w:rPr>
              <w:t>Ideatore del prodotto</w:t>
            </w:r>
          </w:p>
        </w:tc>
        <w:tc>
          <w:tcPr>
            <w:tcW w:w="7087" w:type="dxa"/>
          </w:tcPr>
          <w:p w14:paraId="422DD548" w14:textId="77777777" w:rsidR="00D234FB" w:rsidRPr="003F742A" w:rsidRDefault="00D234FB" w:rsidP="00746755">
            <w:pPr>
              <w:tabs>
                <w:tab w:val="left" w:pos="6400"/>
              </w:tabs>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Banca IFIS S.p.A.</w:t>
            </w:r>
          </w:p>
          <w:p w14:paraId="735C02AB" w14:textId="77777777" w:rsidR="00D234FB" w:rsidRPr="003F742A" w:rsidRDefault="00D234FB" w:rsidP="00746755">
            <w:pPr>
              <w:tabs>
                <w:tab w:val="left" w:pos="6400"/>
              </w:tabs>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Sito internet: </w:t>
            </w:r>
            <w:hyperlink r:id="rId10" w:history="1">
              <w:r w:rsidRPr="003F742A">
                <w:rPr>
                  <w:rStyle w:val="Collegamentoipertestuale"/>
                  <w:rFonts w:asciiTheme="majorHAnsi" w:hAnsiTheme="majorHAnsi" w:cstheme="majorHAnsi"/>
                  <w:sz w:val="20"/>
                  <w:szCs w:val="20"/>
                  <w14:shadow w14:blurRad="63500" w14:dist="50800" w14:dir="1140000" w14:sx="0" w14:sy="0" w14:kx="0" w14:ky="0" w14:algn="none">
                    <w14:srgbClr w14:val="000000">
                      <w14:alpha w14:val="50000"/>
                    </w14:srgbClr>
                  </w14:shadow>
                </w:rPr>
                <w:t>www.bancaifis.it</w:t>
              </w:r>
            </w:hyperlink>
            <w:r w:rsidRPr="003F742A">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 </w:t>
            </w:r>
          </w:p>
          <w:p w14:paraId="2BDF6052" w14:textId="77777777" w:rsidR="00D234FB" w:rsidRPr="003F742A" w:rsidRDefault="00D234FB" w:rsidP="00746755">
            <w:pPr>
              <w:tabs>
                <w:tab w:val="left" w:pos="6400"/>
              </w:tabs>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Telefono: +39 041 5027511</w:t>
            </w:r>
          </w:p>
        </w:tc>
      </w:tr>
      <w:tr w:rsidR="00D234FB" w:rsidRPr="003F742A" w14:paraId="20740F2F" w14:textId="77777777" w:rsidTr="00746755">
        <w:tc>
          <w:tcPr>
            <w:tcW w:w="3114" w:type="dxa"/>
            <w:shd w:val="clear" w:color="auto" w:fill="F2F2F2" w:themeFill="background1" w:themeFillShade="F2"/>
          </w:tcPr>
          <w:p w14:paraId="26D2B62B" w14:textId="77777777" w:rsidR="00D234FB" w:rsidRPr="003F742A" w:rsidRDefault="00D234FB" w:rsidP="00746755">
            <w:pPr>
              <w:tabs>
                <w:tab w:val="left" w:pos="6400"/>
              </w:tabs>
              <w:rPr>
                <w:rFonts w:asciiTheme="majorHAnsi" w:eastAsia="Times New Roman" w:hAnsiTheme="majorHAnsi" w:cstheme="majorHAnsi"/>
                <w:b/>
                <w:color w:val="365F91" w:themeColor="accent1" w:themeShade="BF"/>
                <w:kern w:val="20"/>
                <w:sz w:val="20"/>
                <w:szCs w:val="20"/>
                <w:lang w:eastAsia="en-US"/>
              </w:rPr>
            </w:pPr>
            <w:r w:rsidRPr="003F742A">
              <w:rPr>
                <w:rFonts w:asciiTheme="majorHAnsi" w:eastAsia="Times New Roman" w:hAnsiTheme="majorHAnsi" w:cstheme="majorHAnsi"/>
                <w:b/>
                <w:color w:val="365F91" w:themeColor="accent1" w:themeShade="BF"/>
                <w:kern w:val="20"/>
                <w:sz w:val="20"/>
                <w:szCs w:val="20"/>
                <w:lang w:eastAsia="en-US"/>
              </w:rPr>
              <w:t>Autorità di vigilanza competente</w:t>
            </w:r>
          </w:p>
        </w:tc>
        <w:tc>
          <w:tcPr>
            <w:tcW w:w="7087" w:type="dxa"/>
          </w:tcPr>
          <w:p w14:paraId="7CA35154" w14:textId="77777777" w:rsidR="00D234FB" w:rsidRPr="003F742A" w:rsidRDefault="00D234FB" w:rsidP="00746755">
            <w:pPr>
              <w:tabs>
                <w:tab w:val="left" w:pos="6400"/>
              </w:tabs>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Commissione Nazionale per le Società e la Borsa (Consob) </w:t>
            </w:r>
          </w:p>
        </w:tc>
      </w:tr>
      <w:tr w:rsidR="00D234FB" w:rsidRPr="00164806" w14:paraId="449CFD38" w14:textId="77777777" w:rsidTr="00746755">
        <w:tc>
          <w:tcPr>
            <w:tcW w:w="3114" w:type="dxa"/>
            <w:shd w:val="clear" w:color="auto" w:fill="F2F2F2" w:themeFill="background1" w:themeFillShade="F2"/>
          </w:tcPr>
          <w:p w14:paraId="1F7747BB" w14:textId="77777777" w:rsidR="00D234FB" w:rsidRPr="00164806" w:rsidRDefault="00D234FB" w:rsidP="00746755">
            <w:pPr>
              <w:tabs>
                <w:tab w:val="left" w:pos="6400"/>
              </w:tabs>
              <w:rPr>
                <w:rFonts w:asciiTheme="majorHAnsi" w:eastAsia="Times New Roman" w:hAnsiTheme="majorHAnsi" w:cstheme="majorHAnsi"/>
                <w:b/>
                <w:color w:val="365F91" w:themeColor="accent1" w:themeShade="BF"/>
                <w:kern w:val="20"/>
                <w:sz w:val="20"/>
                <w:szCs w:val="20"/>
                <w:lang w:eastAsia="en-US"/>
              </w:rPr>
            </w:pPr>
            <w:r w:rsidRPr="00164806">
              <w:rPr>
                <w:rFonts w:asciiTheme="majorHAnsi" w:eastAsia="Times New Roman" w:hAnsiTheme="majorHAnsi" w:cstheme="majorHAnsi"/>
                <w:b/>
                <w:color w:val="365F91" w:themeColor="accent1" w:themeShade="BF"/>
                <w:kern w:val="20"/>
                <w:sz w:val="20"/>
                <w:szCs w:val="20"/>
                <w:lang w:eastAsia="en-US"/>
              </w:rPr>
              <w:t>Data di redazione del documento</w:t>
            </w:r>
          </w:p>
        </w:tc>
        <w:tc>
          <w:tcPr>
            <w:tcW w:w="7087" w:type="dxa"/>
          </w:tcPr>
          <w:p w14:paraId="3E07999D" w14:textId="7F7E8C36" w:rsidR="00D234FB" w:rsidRPr="00164806" w:rsidRDefault="00B011CF" w:rsidP="00746755">
            <w:pPr>
              <w:tabs>
                <w:tab w:val="left" w:pos="6400"/>
              </w:tabs>
              <w:rPr>
                <w:rFonts w:asciiTheme="majorHAnsi" w:eastAsia="Times New Roman" w:hAnsiTheme="majorHAnsi" w:cstheme="majorHAnsi"/>
                <w:b/>
                <w:color w:val="365F91" w:themeColor="accent1" w:themeShade="BF"/>
                <w:kern w:val="20"/>
                <w:sz w:val="20"/>
                <w:szCs w:val="20"/>
                <w:lang w:eastAsia="en-US"/>
              </w:rPr>
            </w:pPr>
            <w: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26</w:t>
            </w:r>
            <w:r w:rsidR="00D234FB" w:rsidRP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w:t>
            </w:r>
            <w: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1</w:t>
            </w:r>
            <w:r w:rsidR="00D234FB" w:rsidRP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0/2018</w:t>
            </w:r>
          </w:p>
        </w:tc>
      </w:tr>
    </w:tbl>
    <w:p w14:paraId="55AB175F" w14:textId="77777777" w:rsidR="00D234FB" w:rsidRPr="00164806" w:rsidRDefault="00D234FB" w:rsidP="00D234FB">
      <w:pPr>
        <w:tabs>
          <w:tab w:val="left" w:pos="6400"/>
        </w:tabs>
        <w:rPr>
          <w:rFonts w:asciiTheme="majorHAnsi" w:eastAsia="Times New Roman" w:hAnsiTheme="majorHAnsi" w:cstheme="majorHAnsi"/>
          <w:b/>
          <w:color w:val="365F91" w:themeColor="accent1" w:themeShade="BF"/>
          <w:kern w:val="20"/>
          <w:sz w:val="10"/>
          <w:szCs w:val="20"/>
          <w:lang w:eastAsia="en-US"/>
        </w:rPr>
      </w:pPr>
    </w:p>
    <w:tbl>
      <w:tblPr>
        <w:tblStyle w:val="Grigliatabella"/>
        <w:tblW w:w="0" w:type="auto"/>
        <w:shd w:val="clear" w:color="auto" w:fill="F2F2F2" w:themeFill="background1" w:themeFillShade="F2"/>
        <w:tblLook w:val="04A0" w:firstRow="1" w:lastRow="0" w:firstColumn="1" w:lastColumn="0" w:noHBand="0" w:noVBand="1"/>
      </w:tblPr>
      <w:tblGrid>
        <w:gridCol w:w="10188"/>
      </w:tblGrid>
      <w:tr w:rsidR="00D234FB" w:rsidRPr="00164806" w14:paraId="382BBCD9" w14:textId="77777777" w:rsidTr="00746755">
        <w:tc>
          <w:tcPr>
            <w:tcW w:w="10188" w:type="dxa"/>
            <w:shd w:val="clear" w:color="auto" w:fill="F2F2F2" w:themeFill="background1" w:themeFillShade="F2"/>
          </w:tcPr>
          <w:p w14:paraId="1FAC8309" w14:textId="77777777" w:rsidR="00D234FB" w:rsidRPr="00164806" w:rsidRDefault="00D234FB" w:rsidP="00746755">
            <w:pPr>
              <w:tabs>
                <w:tab w:val="left" w:pos="6400"/>
              </w:tabs>
              <w:jc w:val="center"/>
              <w:rPr>
                <w:rFonts w:asciiTheme="majorHAnsi" w:eastAsia="Times New Roman" w:hAnsiTheme="majorHAnsi" w:cstheme="majorHAnsi"/>
                <w:b/>
                <w:color w:val="365F91" w:themeColor="accent1" w:themeShade="BF"/>
                <w:kern w:val="20"/>
                <w:sz w:val="20"/>
                <w:szCs w:val="20"/>
                <w:lang w:eastAsia="en-US"/>
              </w:rPr>
            </w:pPr>
            <w:r w:rsidRPr="00164806">
              <w:rPr>
                <w:rFonts w:asciiTheme="majorHAnsi" w:eastAsia="Times New Roman" w:hAnsiTheme="majorHAnsi" w:cstheme="majorHAnsi"/>
                <w:b/>
                <w:color w:val="365F91" w:themeColor="accent1" w:themeShade="BF"/>
                <w:kern w:val="20"/>
                <w:sz w:val="20"/>
                <w:szCs w:val="20"/>
                <w:lang w:eastAsia="en-US"/>
              </w:rPr>
              <w:t>State per acquistare un prodotto che non è semplice e può essere di difficile comprensione</w:t>
            </w:r>
          </w:p>
        </w:tc>
      </w:tr>
    </w:tbl>
    <w:p w14:paraId="00F89CBD" w14:textId="77777777" w:rsidR="00D234FB" w:rsidRPr="00164806" w:rsidRDefault="00D234FB" w:rsidP="00D234FB">
      <w:pPr>
        <w:tabs>
          <w:tab w:val="left" w:pos="6400"/>
        </w:tabs>
        <w:rPr>
          <w:rFonts w:asciiTheme="majorHAnsi" w:eastAsia="Times New Roman" w:hAnsiTheme="majorHAnsi" w:cstheme="majorHAnsi"/>
          <w:b/>
          <w:color w:val="365F91" w:themeColor="accent1" w:themeShade="BF"/>
          <w:kern w:val="20"/>
          <w:sz w:val="10"/>
          <w:szCs w:val="20"/>
          <w:lang w:eastAsia="en-US"/>
        </w:rPr>
      </w:pPr>
    </w:p>
    <w:tbl>
      <w:tblPr>
        <w:tblStyle w:val="Grigliatabella"/>
        <w:tblW w:w="0" w:type="auto"/>
        <w:tblLook w:val="04A0" w:firstRow="1" w:lastRow="0" w:firstColumn="1" w:lastColumn="0" w:noHBand="0" w:noVBand="1"/>
      </w:tblPr>
      <w:tblGrid>
        <w:gridCol w:w="10188"/>
      </w:tblGrid>
      <w:tr w:rsidR="00D234FB" w:rsidRPr="00164806" w14:paraId="423E9A42" w14:textId="77777777" w:rsidTr="00746755">
        <w:tc>
          <w:tcPr>
            <w:tcW w:w="10188" w:type="dxa"/>
            <w:shd w:val="clear" w:color="auto" w:fill="F2F2F2" w:themeFill="background1" w:themeFillShade="F2"/>
          </w:tcPr>
          <w:p w14:paraId="5CA1B236" w14:textId="77777777" w:rsidR="00D234FB" w:rsidRPr="00164806" w:rsidRDefault="00D234FB" w:rsidP="00746755">
            <w:pPr>
              <w:tabs>
                <w:tab w:val="left" w:pos="6400"/>
              </w:tabs>
              <w:jc w:val="cente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164806">
              <w:rPr>
                <w:rFonts w:asciiTheme="majorHAnsi" w:eastAsia="Times New Roman" w:hAnsiTheme="majorHAnsi" w:cstheme="majorHAnsi"/>
                <w:b/>
                <w:color w:val="365F91" w:themeColor="accent1" w:themeShade="BF"/>
                <w:kern w:val="20"/>
                <w:sz w:val="20"/>
                <w:szCs w:val="20"/>
                <w:lang w:eastAsia="en-US"/>
              </w:rPr>
              <w:t>COS’È QUESTO PRODOTTO?</w:t>
            </w:r>
          </w:p>
        </w:tc>
      </w:tr>
      <w:tr w:rsidR="00D234FB" w:rsidRPr="003F742A" w14:paraId="1044C9C6" w14:textId="77777777" w:rsidTr="00746755">
        <w:tc>
          <w:tcPr>
            <w:tcW w:w="10188" w:type="dxa"/>
            <w:shd w:val="clear" w:color="auto" w:fill="auto"/>
          </w:tcPr>
          <w:p w14:paraId="76B0B6B5" w14:textId="77777777" w:rsidR="00D234FB" w:rsidRPr="00164806" w:rsidRDefault="00D234FB" w:rsidP="00746755">
            <w:pPr>
              <w:tabs>
                <w:tab w:val="left" w:pos="6400"/>
              </w:tabs>
              <w:jc w:val="both"/>
              <w:rPr>
                <w:rFonts w:asciiTheme="majorHAnsi" w:hAnsiTheme="majorHAnsi" w:cstheme="majorHAnsi"/>
                <w:color w:val="404040" w:themeColor="text1" w:themeTint="BF"/>
                <w:sz w:val="20"/>
                <w:szCs w:val="20"/>
                <w:lang w:val="en-US"/>
                <w14:shadow w14:blurRad="63500" w14:dist="50800" w14:dir="1140000" w14:sx="0" w14:sy="0" w14:kx="0" w14:ky="0" w14:algn="none">
                  <w14:srgbClr w14:val="000000">
                    <w14:alpha w14:val="50000"/>
                  </w14:srgbClr>
                </w14:shadow>
              </w:rPr>
            </w:pPr>
            <w:proofErr w:type="spellStart"/>
            <w:r w:rsidRPr="00164806">
              <w:rPr>
                <w:rFonts w:asciiTheme="majorHAnsi" w:eastAsia="Times New Roman" w:hAnsiTheme="majorHAnsi" w:cstheme="majorHAnsi"/>
                <w:b/>
                <w:color w:val="365F91" w:themeColor="accent1" w:themeShade="BF"/>
                <w:kern w:val="20"/>
                <w:sz w:val="20"/>
                <w:szCs w:val="20"/>
                <w:lang w:val="en-US" w:eastAsia="en-US"/>
              </w:rPr>
              <w:t>Tipo</w:t>
            </w:r>
            <w:proofErr w:type="spellEnd"/>
            <w:r w:rsidRPr="00164806">
              <w:rPr>
                <w:rFonts w:asciiTheme="majorHAnsi" w:eastAsia="Times New Roman" w:hAnsiTheme="majorHAnsi" w:cstheme="majorHAnsi"/>
                <w:b/>
                <w:color w:val="365F91" w:themeColor="accent1" w:themeShade="BF"/>
                <w:kern w:val="20"/>
                <w:sz w:val="20"/>
                <w:szCs w:val="20"/>
                <w:lang w:val="en-US" w:eastAsia="en-US"/>
              </w:rPr>
              <w:t>:</w:t>
            </w:r>
            <w:r w:rsidRPr="00164806">
              <w:rPr>
                <w:rFonts w:asciiTheme="majorHAnsi" w:hAnsiTheme="majorHAnsi" w:cstheme="majorHAnsi"/>
                <w:color w:val="404040" w:themeColor="text1" w:themeTint="BF"/>
                <w:sz w:val="20"/>
                <w:szCs w:val="20"/>
                <w:lang w:val="en-US"/>
                <w14:shadow w14:blurRad="63500" w14:dist="50800" w14:dir="1140000" w14:sx="0" w14:sy="0" w14:kx="0" w14:ky="0" w14:algn="none">
                  <w14:srgbClr w14:val="000000">
                    <w14:alpha w14:val="50000"/>
                  </w14:srgbClr>
                </w14:shadow>
              </w:rPr>
              <w:t xml:space="preserve"> </w:t>
            </w:r>
            <w:proofErr w:type="spellStart"/>
            <w:r w:rsidRPr="00164806">
              <w:rPr>
                <w:rFonts w:asciiTheme="majorHAnsi" w:hAnsiTheme="majorHAnsi" w:cstheme="majorHAnsi"/>
                <w:color w:val="404040" w:themeColor="text1" w:themeTint="BF"/>
                <w:sz w:val="20"/>
                <w:szCs w:val="20"/>
                <w:lang w:val="en-US"/>
                <w14:shadow w14:blurRad="63500" w14:dist="50800" w14:dir="1140000" w14:sx="0" w14:sy="0" w14:kx="0" w14:ky="0" w14:algn="none">
                  <w14:srgbClr w14:val="000000">
                    <w14:alpha w14:val="50000"/>
                  </w14:srgbClr>
                </w14:shadow>
              </w:rPr>
              <w:t>Derivato</w:t>
            </w:r>
            <w:proofErr w:type="spellEnd"/>
            <w:r w:rsidRPr="00164806">
              <w:rPr>
                <w:rFonts w:asciiTheme="majorHAnsi" w:hAnsiTheme="majorHAnsi" w:cstheme="majorHAnsi"/>
                <w:color w:val="404040" w:themeColor="text1" w:themeTint="BF"/>
                <w:sz w:val="20"/>
                <w:szCs w:val="20"/>
                <w:lang w:val="en-US"/>
                <w14:shadow w14:blurRad="63500" w14:dist="50800" w14:dir="1140000" w14:sx="0" w14:sy="0" w14:kx="0" w14:ky="0" w14:algn="none">
                  <w14:srgbClr w14:val="000000">
                    <w14:alpha w14:val="50000"/>
                  </w14:srgbClr>
                </w14:shadow>
              </w:rPr>
              <w:t xml:space="preserve"> </w:t>
            </w:r>
            <w:proofErr w:type="spellStart"/>
            <w:r w:rsidRPr="00164806">
              <w:rPr>
                <w:rFonts w:asciiTheme="majorHAnsi" w:hAnsiTheme="majorHAnsi" w:cstheme="majorHAnsi"/>
                <w:color w:val="404040" w:themeColor="text1" w:themeTint="BF"/>
                <w:sz w:val="20"/>
                <w:szCs w:val="20"/>
                <w:lang w:val="en-US"/>
                <w14:shadow w14:blurRad="63500" w14:dist="50800" w14:dir="1140000" w14:sx="0" w14:sy="0" w14:kx="0" w14:ky="0" w14:algn="none">
                  <w14:srgbClr w14:val="000000">
                    <w14:alpha w14:val="50000"/>
                  </w14:srgbClr>
                </w14:shadow>
              </w:rPr>
              <w:t>su</w:t>
            </w:r>
            <w:proofErr w:type="spellEnd"/>
            <w:r w:rsidRPr="00164806">
              <w:rPr>
                <w:rFonts w:asciiTheme="majorHAnsi" w:hAnsiTheme="majorHAnsi" w:cstheme="majorHAnsi"/>
                <w:color w:val="404040" w:themeColor="text1" w:themeTint="BF"/>
                <w:sz w:val="20"/>
                <w:szCs w:val="20"/>
                <w:lang w:val="en-US"/>
                <w14:shadow w14:blurRad="63500" w14:dist="50800" w14:dir="1140000" w14:sx="0" w14:sy="0" w14:kx="0" w14:ky="0" w14:algn="none">
                  <w14:srgbClr w14:val="000000">
                    <w14:alpha w14:val="50000"/>
                  </w14:srgbClr>
                </w14:shadow>
              </w:rPr>
              <w:t xml:space="preserve"> </w:t>
            </w:r>
            <w:proofErr w:type="spellStart"/>
            <w:r w:rsidRPr="00164806">
              <w:rPr>
                <w:rFonts w:asciiTheme="majorHAnsi" w:hAnsiTheme="majorHAnsi" w:cstheme="majorHAnsi"/>
                <w:color w:val="404040" w:themeColor="text1" w:themeTint="BF"/>
                <w:sz w:val="20"/>
                <w:szCs w:val="20"/>
                <w:lang w:val="en-US"/>
                <w14:shadow w14:blurRad="63500" w14:dist="50800" w14:dir="1140000" w14:sx="0" w14:sy="0" w14:kx="0" w14:ky="0" w14:algn="none">
                  <w14:srgbClr w14:val="000000">
                    <w14:alpha w14:val="50000"/>
                  </w14:srgbClr>
                </w14:shadow>
              </w:rPr>
              <w:t>valute</w:t>
            </w:r>
            <w:proofErr w:type="spellEnd"/>
            <w:r w:rsidRPr="00164806">
              <w:rPr>
                <w:rFonts w:asciiTheme="majorHAnsi" w:hAnsiTheme="majorHAnsi" w:cstheme="majorHAnsi"/>
                <w:color w:val="404040" w:themeColor="text1" w:themeTint="BF"/>
                <w:sz w:val="20"/>
                <w:szCs w:val="20"/>
                <w:lang w:val="en-US"/>
                <w14:shadow w14:blurRad="63500" w14:dist="50800" w14:dir="1140000" w14:sx="0" w14:sy="0" w14:kx="0" w14:ky="0" w14:algn="none">
                  <w14:srgbClr w14:val="000000">
                    <w14:alpha w14:val="50000"/>
                  </w14:srgbClr>
                </w14:shadow>
              </w:rPr>
              <w:t xml:space="preserve"> OTC (Over the Counter) - Outright Export</w:t>
            </w:r>
          </w:p>
          <w:p w14:paraId="745E2AB2" w14:textId="77777777" w:rsidR="00D234FB" w:rsidRPr="00164806" w:rsidRDefault="00D234FB" w:rsidP="00746755">
            <w:pPr>
              <w:tabs>
                <w:tab w:val="left" w:pos="6400"/>
              </w:tabs>
              <w:jc w:val="both"/>
              <w:rPr>
                <w:rFonts w:asciiTheme="majorHAnsi" w:hAnsiTheme="majorHAnsi" w:cstheme="majorHAnsi"/>
                <w:sz w:val="20"/>
                <w:szCs w:val="20"/>
              </w:rPr>
            </w:pPr>
            <w:r w:rsidRPr="00164806">
              <w:rPr>
                <w:rFonts w:asciiTheme="majorHAnsi" w:eastAsia="Times New Roman" w:hAnsiTheme="majorHAnsi" w:cstheme="majorHAnsi"/>
                <w:b/>
                <w:color w:val="365F91" w:themeColor="accent1" w:themeShade="BF"/>
                <w:kern w:val="20"/>
                <w:sz w:val="20"/>
                <w:szCs w:val="20"/>
                <w:lang w:eastAsia="en-US"/>
              </w:rPr>
              <w:t>Obiettivi:</w:t>
            </w:r>
            <w:r w:rsidRP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 </w:t>
            </w:r>
            <w:r w:rsidRPr="00164806">
              <w:rPr>
                <w:rFonts w:asciiTheme="majorHAnsi" w:hAnsiTheme="majorHAnsi" w:cstheme="majorHAnsi"/>
                <w:sz w:val="20"/>
                <w:szCs w:val="20"/>
              </w:rPr>
              <w:t>questo prodotto è un contratto con il quale il Cliente si impegna a vendere alla Banca, a una determinata data di scadenza, una certa quantità di valuta estera (valuta) ad un tasso di cambio predeterminato.</w:t>
            </w:r>
          </w:p>
          <w:p w14:paraId="5B98F310" w14:textId="77777777" w:rsidR="00D234FB" w:rsidRPr="00164806" w:rsidRDefault="00D234FB" w:rsidP="00746755">
            <w:pPr>
              <w:tabs>
                <w:tab w:val="left" w:pos="6400"/>
              </w:tabs>
              <w:jc w:val="both"/>
              <w:rPr>
                <w:rFonts w:asciiTheme="majorHAnsi" w:hAnsiTheme="majorHAnsi" w:cstheme="majorHAnsi"/>
                <w:sz w:val="20"/>
                <w:szCs w:val="20"/>
              </w:rPr>
            </w:pPr>
            <w:r w:rsidRPr="00164806">
              <w:rPr>
                <w:rFonts w:asciiTheme="majorHAnsi" w:hAnsiTheme="majorHAnsi" w:cstheme="majorHAnsi"/>
                <w:sz w:val="20"/>
                <w:szCs w:val="20"/>
              </w:rPr>
              <w:t>In questo modo il cliente può proteggersi da eventuali variazioni sfavorevoli del rapporto di cambio. Per contro, in caso di variazioni favorevoli di questo ultimo, il cliente non potrà beneficiare dei relativi vantaggi economici.</w:t>
            </w:r>
          </w:p>
          <w:p w14:paraId="15B18528" w14:textId="63416966" w:rsidR="00D234FB" w:rsidRPr="00164806" w:rsidRDefault="00D234FB" w:rsidP="00746755">
            <w:pPr>
              <w:tabs>
                <w:tab w:val="left" w:pos="6400"/>
              </w:tabs>
              <w:jc w:val="both"/>
              <w:rPr>
                <w:rFonts w:asciiTheme="majorHAnsi" w:hAnsiTheme="majorHAnsi" w:cstheme="majorHAnsi"/>
                <w:b/>
                <w:color w:val="404040" w:themeColor="text1" w:themeTint="BF"/>
                <w:sz w:val="20"/>
                <w:szCs w:val="20"/>
                <w14:shadow w14:blurRad="63500" w14:dist="50800" w14:dir="1140000" w14:sx="0" w14:sy="0" w14:kx="0" w14:ky="0" w14:algn="none">
                  <w14:srgbClr w14:val="000000">
                    <w14:alpha w14:val="50000"/>
                  </w14:srgbClr>
                </w14:shadow>
              </w:rPr>
            </w:pPr>
            <w:r w:rsidRPr="00164806">
              <w:rPr>
                <w:rFonts w:asciiTheme="majorHAnsi" w:hAnsiTheme="majorHAnsi" w:cstheme="majorHAnsi"/>
                <w:b/>
                <w:color w:val="404040" w:themeColor="text1" w:themeTint="BF"/>
                <w:sz w:val="20"/>
                <w:szCs w:val="20"/>
                <w:u w:val="single"/>
                <w14:shadow w14:blurRad="63500" w14:dist="50800" w14:dir="1140000" w14:sx="0" w14:sy="0" w14:kx="0" w14:ky="0" w14:algn="none">
                  <w14:srgbClr w14:val="000000">
                    <w14:alpha w14:val="50000"/>
                  </w14:srgbClr>
                </w14:shadow>
              </w:rPr>
              <w:t xml:space="preserve">Attività di riferimento sottostante: </w:t>
            </w:r>
            <w:r w:rsidRP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cambio Eur</w:t>
            </w:r>
            <w:r w:rsidR="004D416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o/Yen</w:t>
            </w:r>
            <w:r w:rsidR="009F5D68">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w:t>
            </w:r>
          </w:p>
          <w:p w14:paraId="564E08ED" w14:textId="77777777" w:rsidR="00D234FB" w:rsidRPr="00164806" w:rsidRDefault="00D234FB" w:rsidP="00746755">
            <w:pPr>
              <w:tabs>
                <w:tab w:val="left" w:pos="6400"/>
              </w:tabs>
              <w:jc w:val="both"/>
              <w:rPr>
                <w:rFonts w:asciiTheme="majorHAnsi" w:hAnsiTheme="majorHAnsi" w:cstheme="majorHAnsi"/>
                <w:b/>
                <w:color w:val="404040" w:themeColor="text1" w:themeTint="BF"/>
                <w:sz w:val="20"/>
                <w:szCs w:val="20"/>
                <w14:shadow w14:blurRad="63500" w14:dist="50800" w14:dir="1140000" w14:sx="0" w14:sy="0" w14:kx="0" w14:ky="0" w14:algn="none">
                  <w14:srgbClr w14:val="000000">
                    <w14:alpha w14:val="50000"/>
                  </w14:srgbClr>
                </w14:shadow>
              </w:rPr>
            </w:pPr>
            <w:r w:rsidRPr="00164806">
              <w:rPr>
                <w:rFonts w:asciiTheme="majorHAnsi" w:hAnsiTheme="majorHAnsi" w:cstheme="majorHAnsi"/>
                <w:b/>
                <w:color w:val="404040" w:themeColor="text1" w:themeTint="BF"/>
                <w:sz w:val="20"/>
                <w:szCs w:val="20"/>
                <w14:shadow w14:blurRad="63500" w14:dist="50800" w14:dir="1140000" w14:sx="0" w14:sy="0" w14:kx="0" w14:ky="0" w14:algn="none">
                  <w14:srgbClr w14:val="000000">
                    <w14:alpha w14:val="50000"/>
                  </w14:srgbClr>
                </w14:shadow>
              </w:rPr>
              <w:t>Come funziona</w:t>
            </w:r>
          </w:p>
          <w:p w14:paraId="0AB94B2F" w14:textId="77777777" w:rsidR="00D234FB" w:rsidRPr="00164806" w:rsidRDefault="00D234FB" w:rsidP="00C63119">
            <w:pPr>
              <w:pStyle w:val="Paragrafoelenco"/>
              <w:numPr>
                <w:ilvl w:val="0"/>
                <w:numId w:val="4"/>
              </w:numPr>
              <w:tabs>
                <w:tab w:val="left" w:pos="6400"/>
              </w:tabs>
              <w:spacing w:before="0" w:after="0"/>
              <w:ind w:left="171" w:hanging="171"/>
              <w:jc w:val="both"/>
              <w:rPr>
                <w:rFonts w:asciiTheme="majorHAnsi" w:eastAsia="Times New Roman" w:hAnsiTheme="majorHAnsi" w:cstheme="majorHAnsi"/>
                <w:color w:val="404040" w:themeColor="text1" w:themeTint="BF"/>
                <w:szCs w:val="22"/>
                <w14:shadow w14:blurRad="63500" w14:dist="50800" w14:dir="1140000" w14:sx="0" w14:sy="0" w14:kx="0" w14:ky="0" w14:algn="none">
                  <w14:srgbClr w14:val="000000">
                    <w14:alpha w14:val="50000"/>
                  </w14:srgbClr>
                </w14:shadow>
              </w:rPr>
            </w:pPr>
            <w:r w:rsidRPr="00164806">
              <w:rPr>
                <w:rFonts w:asciiTheme="majorHAnsi" w:hAnsiTheme="majorHAnsi" w:cstheme="majorHAnsi"/>
                <w:b/>
                <w:color w:val="404040" w:themeColor="text1" w:themeTint="BF"/>
                <w14:shadow w14:blurRad="63500" w14:dist="50800" w14:dir="1140000" w14:sx="0" w14:sy="0" w14:kx="0" w14:ky="0" w14:algn="none">
                  <w14:srgbClr w14:val="000000">
                    <w14:alpha w14:val="50000"/>
                  </w14:srgbClr>
                </w14:shadow>
              </w:rPr>
              <w:t>Flussi regolati alla data di scadenza</w:t>
            </w:r>
            <w:r w:rsidR="00973757" w:rsidRPr="00164806">
              <w:rPr>
                <w:rFonts w:asciiTheme="majorHAnsi" w:hAnsiTheme="majorHAnsi" w:cstheme="majorHAnsi"/>
                <w:b/>
                <w:color w:val="404040" w:themeColor="text1" w:themeTint="BF"/>
                <w14:shadow w14:blurRad="63500" w14:dist="50800" w14:dir="1140000" w14:sx="0" w14:sy="0" w14:kx="0" w14:ky="0" w14:algn="none">
                  <w14:srgbClr w14:val="000000">
                    <w14:alpha w14:val="50000"/>
                  </w14:srgbClr>
                </w14:shadow>
              </w:rPr>
              <w:t xml:space="preserve">. </w:t>
            </w:r>
            <w:r w:rsidRPr="00164806">
              <w:rPr>
                <w:rFonts w:asciiTheme="majorHAnsi" w:hAnsiTheme="majorHAnsi" w:cstheme="majorHAnsi"/>
              </w:rPr>
              <w:t xml:space="preserve">Il Cliente, alla </w:t>
            </w:r>
            <w:r w:rsidR="00093ADD" w:rsidRPr="00164806">
              <w:rPr>
                <w:rFonts w:asciiTheme="majorHAnsi" w:hAnsiTheme="majorHAnsi" w:cstheme="majorHAnsi"/>
              </w:rPr>
              <w:t>D</w:t>
            </w:r>
            <w:r w:rsidRPr="00164806">
              <w:rPr>
                <w:rFonts w:asciiTheme="majorHAnsi" w:hAnsiTheme="majorHAnsi" w:cstheme="majorHAnsi"/>
              </w:rPr>
              <w:t xml:space="preserve">ata di </w:t>
            </w:r>
            <w:r w:rsidR="00093ADD" w:rsidRPr="00164806">
              <w:rPr>
                <w:rFonts w:asciiTheme="majorHAnsi" w:hAnsiTheme="majorHAnsi" w:cstheme="majorHAnsi"/>
              </w:rPr>
              <w:t>S</w:t>
            </w:r>
            <w:r w:rsidRPr="00164806">
              <w:rPr>
                <w:rFonts w:asciiTheme="majorHAnsi" w:hAnsiTheme="majorHAnsi" w:cstheme="majorHAnsi"/>
              </w:rPr>
              <w:t xml:space="preserve">cadenza, consegna alla Banca l’ammontare della valuta </w:t>
            </w:r>
            <w:r w:rsidRPr="00164806">
              <w:rPr>
                <w:rFonts w:asciiTheme="majorHAnsi" w:eastAsia="Times New Roman" w:hAnsiTheme="majorHAnsi" w:cstheme="majorHAnsi"/>
                <w:color w:val="404040" w:themeColor="text1" w:themeTint="BF"/>
                <w:szCs w:val="22"/>
                <w14:shadow w14:blurRad="63500" w14:dist="50800" w14:dir="1140000" w14:sx="0" w14:sy="0" w14:kx="0" w14:ky="0" w14:algn="none">
                  <w14:srgbClr w14:val="000000">
                    <w14:alpha w14:val="50000"/>
                  </w14:srgbClr>
                </w14:shadow>
              </w:rPr>
              <w:t>venduta e riceve il corrispettivo determinato</w:t>
            </w:r>
            <w:r w:rsidR="004F5C71" w:rsidRPr="00164806">
              <w:rPr>
                <w:rFonts w:asciiTheme="majorHAnsi" w:eastAsia="Times New Roman" w:hAnsiTheme="majorHAnsi" w:cstheme="majorHAnsi"/>
                <w:color w:val="404040" w:themeColor="text1" w:themeTint="BF"/>
                <w:szCs w:val="22"/>
                <w14:shadow w14:blurRad="63500" w14:dist="50800" w14:dir="1140000" w14:sx="0" w14:sy="0" w14:kx="0" w14:ky="0" w14:algn="none">
                  <w14:srgbClr w14:val="000000">
                    <w14:alpha w14:val="50000"/>
                  </w14:srgbClr>
                </w14:shadow>
              </w:rPr>
              <w:t xml:space="preserve"> </w:t>
            </w:r>
            <w:r w:rsidRPr="00164806">
              <w:rPr>
                <w:rFonts w:asciiTheme="majorHAnsi" w:eastAsia="Times New Roman" w:hAnsiTheme="majorHAnsi" w:cstheme="majorHAnsi"/>
                <w:color w:val="404040" w:themeColor="text1" w:themeTint="BF"/>
                <w:szCs w:val="22"/>
                <w14:shadow w14:blurRad="63500" w14:dist="50800" w14:dir="1140000" w14:sx="0" w14:sy="0" w14:kx="0" w14:ky="0" w14:algn="none">
                  <w14:srgbClr w14:val="000000">
                    <w14:alpha w14:val="50000"/>
                  </w14:srgbClr>
                </w14:shadow>
              </w:rPr>
              <w:t>applicando il tasso di cambio contrattuale.</w:t>
            </w:r>
          </w:p>
          <w:p w14:paraId="018610D0" w14:textId="4438123E" w:rsidR="00D234FB" w:rsidRPr="00164806" w:rsidRDefault="00D234FB" w:rsidP="00C63119">
            <w:pPr>
              <w:pStyle w:val="Paragrafoelenco"/>
              <w:numPr>
                <w:ilvl w:val="0"/>
                <w:numId w:val="4"/>
              </w:numPr>
              <w:tabs>
                <w:tab w:val="left" w:pos="6400"/>
              </w:tabs>
              <w:autoSpaceDE w:val="0"/>
              <w:autoSpaceDN w:val="0"/>
              <w:spacing w:before="0" w:after="0"/>
              <w:ind w:left="171" w:hanging="171"/>
              <w:jc w:val="both"/>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pPr>
            <w:r w:rsidRPr="00164806">
              <w:rPr>
                <w:rFonts w:asciiTheme="majorHAnsi" w:hAnsiTheme="majorHAnsi" w:cstheme="majorHAnsi"/>
                <w:b/>
                <w:color w:val="404040" w:themeColor="text1" w:themeTint="BF"/>
                <w14:shadow w14:blurRad="63500" w14:dist="50800" w14:dir="1140000" w14:sx="0" w14:sy="0" w14:kx="0" w14:ky="0" w14:algn="none">
                  <w14:srgbClr w14:val="000000">
                    <w14:alpha w14:val="50000"/>
                  </w14:srgbClr>
                </w14:shadow>
              </w:rPr>
              <w:t>Durata</w:t>
            </w:r>
            <w:r w:rsidR="00973757" w:rsidRPr="00164806">
              <w:rPr>
                <w:rFonts w:asciiTheme="majorHAnsi" w:hAnsiTheme="majorHAnsi" w:cstheme="majorHAnsi"/>
                <w:b/>
                <w:color w:val="404040" w:themeColor="text1" w:themeTint="BF"/>
                <w14:shadow w14:blurRad="63500" w14:dist="50800" w14:dir="1140000" w14:sx="0" w14:sy="0" w14:kx="0" w14:ky="0" w14:algn="none">
                  <w14:srgbClr w14:val="000000">
                    <w14:alpha w14:val="50000"/>
                  </w14:srgbClr>
                </w14:shadow>
              </w:rPr>
              <w:t xml:space="preserve">. </w:t>
            </w:r>
            <w:r w:rsidRPr="00164806">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t>Il cliente può detenere il prodotto in argomento per un periodo inferiore alla durata originaria</w:t>
            </w:r>
            <w:r w:rsidR="00DD6C7F" w:rsidRPr="00164806">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t xml:space="preserve">, pari a </w:t>
            </w:r>
            <w:r w:rsidR="009A4D72">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t>12</w:t>
            </w:r>
            <w:r w:rsidR="00DD6C7F" w:rsidRPr="00164806">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t xml:space="preserve"> mesi</w:t>
            </w:r>
            <w:r w:rsidRPr="00164806">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t>.</w:t>
            </w:r>
          </w:p>
          <w:p w14:paraId="0F3F9AA9" w14:textId="77777777" w:rsidR="00D234FB" w:rsidRPr="00164806" w:rsidRDefault="00D234FB" w:rsidP="00746755">
            <w:pPr>
              <w:autoSpaceDE w:val="0"/>
              <w:autoSpaceDN w:val="0"/>
              <w:jc w:val="both"/>
              <w:rPr>
                <w:rFonts w:asciiTheme="majorHAnsi" w:eastAsia="Times New Roman" w:hAnsiTheme="majorHAnsi" w:cstheme="majorHAnsi"/>
                <w:color w:val="404040" w:themeColor="text1" w:themeTint="BF"/>
                <w:sz w:val="20"/>
                <w:szCs w:val="22"/>
                <w14:shadow w14:blurRad="63500" w14:dist="50800" w14:dir="1140000" w14:sx="0" w14:sy="0" w14:kx="0" w14:ky="0" w14:algn="none">
                  <w14:srgbClr w14:val="000000">
                    <w14:alpha w14:val="50000"/>
                  </w14:srgbClr>
                </w14:shadow>
              </w:rPr>
            </w:pPr>
            <w:r w:rsidRPr="00164806">
              <w:rPr>
                <w:rFonts w:asciiTheme="majorHAnsi" w:hAnsiTheme="majorHAnsi" w:cstheme="majorHAnsi"/>
                <w:color w:val="404040" w:themeColor="text1" w:themeTint="BF"/>
                <w:sz w:val="20"/>
                <w:szCs w:val="22"/>
                <w14:shadow w14:blurRad="63500" w14:dist="50800" w14:dir="1140000" w14:sx="0" w14:sy="0" w14:kx="0" w14:ky="0" w14:algn="none">
                  <w14:srgbClr w14:val="000000">
                    <w14:alpha w14:val="50000"/>
                  </w14:srgbClr>
                </w14:shadow>
              </w:rPr>
              <w:t xml:space="preserve">In tal caso, </w:t>
            </w:r>
            <w:r w:rsidRPr="00164806">
              <w:rPr>
                <w:rFonts w:asciiTheme="majorHAnsi" w:eastAsia="Times New Roman" w:hAnsiTheme="majorHAnsi" w:cstheme="majorHAnsi"/>
                <w:color w:val="404040" w:themeColor="text1" w:themeTint="BF"/>
                <w:sz w:val="20"/>
                <w:szCs w:val="22"/>
                <w14:shadow w14:blurRad="63500" w14:dist="50800" w14:dir="1140000" w14:sx="0" w14:sy="0" w14:kx="0" w14:ky="0" w14:algn="none">
                  <w14:srgbClr w14:val="000000">
                    <w14:alpha w14:val="50000"/>
                  </w14:srgbClr>
                </w14:shadow>
              </w:rPr>
              <w:t>la Banca si renderà disponibile a fornire al cliente una valutazione economica (a credito o a debito per il cliente) per l’estinzione anticipata dell’operazione, calcolata secondo i principi e le regole definiti nell’</w:t>
            </w:r>
            <w:r w:rsidR="009C02F3" w:rsidRPr="00164806">
              <w:rPr>
                <w:rFonts w:asciiTheme="majorHAnsi" w:eastAsia="Times New Roman" w:hAnsiTheme="majorHAnsi" w:cstheme="majorHAnsi"/>
                <w:color w:val="404040" w:themeColor="text1" w:themeTint="BF"/>
                <w:sz w:val="20"/>
                <w:szCs w:val="22"/>
                <w14:shadow w14:blurRad="63500" w14:dist="50800" w14:dir="1140000" w14:sx="0" w14:sy="0" w14:kx="0" w14:ky="0" w14:algn="none">
                  <w14:srgbClr w14:val="000000">
                    <w14:alpha w14:val="50000"/>
                  </w14:srgbClr>
                </w14:shadow>
              </w:rPr>
              <w:t>A</w:t>
            </w:r>
            <w:r w:rsidRPr="00164806">
              <w:rPr>
                <w:rFonts w:asciiTheme="majorHAnsi" w:eastAsia="Times New Roman" w:hAnsiTheme="majorHAnsi" w:cstheme="majorHAnsi"/>
                <w:color w:val="404040" w:themeColor="text1" w:themeTint="BF"/>
                <w:sz w:val="20"/>
                <w:szCs w:val="22"/>
                <w14:shadow w14:blurRad="63500" w14:dist="50800" w14:dir="1140000" w14:sx="0" w14:sy="0" w14:kx="0" w14:ky="0" w14:algn="none">
                  <w14:srgbClr w14:val="000000">
                    <w14:alpha w14:val="50000"/>
                  </w14:srgbClr>
                </w14:shadow>
              </w:rPr>
              <w:t xml:space="preserve">ccordo </w:t>
            </w:r>
            <w:r w:rsidR="009C02F3" w:rsidRPr="00164806">
              <w:rPr>
                <w:rFonts w:asciiTheme="majorHAnsi" w:eastAsia="Times New Roman" w:hAnsiTheme="majorHAnsi" w:cstheme="majorHAnsi"/>
                <w:color w:val="404040" w:themeColor="text1" w:themeTint="BF"/>
                <w:sz w:val="20"/>
                <w:szCs w:val="22"/>
                <w14:shadow w14:blurRad="63500" w14:dist="50800" w14:dir="1140000" w14:sx="0" w14:sy="0" w14:kx="0" w14:ky="0" w14:algn="none">
                  <w14:srgbClr w14:val="000000">
                    <w14:alpha w14:val="50000"/>
                  </w14:srgbClr>
                </w14:shadow>
              </w:rPr>
              <w:t>Quadro</w:t>
            </w:r>
            <w:r w:rsidRPr="00164806">
              <w:rPr>
                <w:rFonts w:asciiTheme="majorHAnsi" w:eastAsia="Times New Roman" w:hAnsiTheme="majorHAnsi" w:cstheme="majorHAnsi"/>
                <w:color w:val="404040" w:themeColor="text1" w:themeTint="BF"/>
                <w:sz w:val="20"/>
                <w:szCs w:val="22"/>
                <w14:shadow w14:blurRad="63500" w14:dist="50800" w14:dir="1140000" w14:sx="0" w14:sy="0" w14:kx="0" w14:ky="0" w14:algn="none">
                  <w14:srgbClr w14:val="000000">
                    <w14:alpha w14:val="50000"/>
                  </w14:srgbClr>
                </w14:shadow>
              </w:rPr>
              <w:t xml:space="preserve">. </w:t>
            </w:r>
          </w:p>
          <w:p w14:paraId="161D077C" w14:textId="77777777" w:rsidR="00D234FB" w:rsidRPr="00164806" w:rsidRDefault="00D234FB" w:rsidP="00746755">
            <w:pPr>
              <w:tabs>
                <w:tab w:val="left" w:pos="6400"/>
              </w:tabs>
              <w:jc w:val="both"/>
              <w:rPr>
                <w:rFonts w:asciiTheme="majorHAnsi" w:hAnsiTheme="majorHAnsi" w:cstheme="majorHAnsi"/>
                <w:b/>
                <w:color w:val="404040" w:themeColor="text1" w:themeTint="BF"/>
                <w:sz w:val="20"/>
                <w:szCs w:val="20"/>
                <w14:shadow w14:blurRad="63500" w14:dist="50800" w14:dir="1140000" w14:sx="0" w14:sy="0" w14:kx="0" w14:ky="0" w14:algn="none">
                  <w14:srgbClr w14:val="000000">
                    <w14:alpha w14:val="50000"/>
                  </w14:srgbClr>
                </w14:shadow>
              </w:rPr>
            </w:pPr>
            <w:r w:rsidRPr="00164806">
              <w:rPr>
                <w:rFonts w:asciiTheme="majorHAnsi" w:hAnsiTheme="majorHAnsi" w:cstheme="majorHAnsi"/>
                <w:b/>
                <w:color w:val="404040" w:themeColor="text1" w:themeTint="BF"/>
                <w:sz w:val="20"/>
                <w:szCs w:val="20"/>
                <w14:shadow w14:blurRad="63500" w14:dist="50800" w14:dir="1140000" w14:sx="0" w14:sy="0" w14:kx="0" w14:ky="0" w14:algn="none">
                  <w14:srgbClr w14:val="000000">
                    <w14:alpha w14:val="50000"/>
                  </w14:srgbClr>
                </w14:shadow>
              </w:rPr>
              <w:t>Date e valori chiave</w:t>
            </w:r>
          </w:p>
          <w:p w14:paraId="72B4E6F7" w14:textId="77777777" w:rsidR="00D234FB" w:rsidRPr="00164806" w:rsidRDefault="00D234FB" w:rsidP="00746755">
            <w:pPr>
              <w:tabs>
                <w:tab w:val="left" w:pos="6400"/>
              </w:tabs>
              <w:jc w:val="both"/>
              <w:rPr>
                <w:rFonts w:asciiTheme="majorHAnsi" w:hAnsiTheme="majorHAnsi" w:cstheme="majorHAnsi"/>
                <w:strike/>
                <w:color w:val="404040" w:themeColor="text1" w:themeTint="BF"/>
                <w:sz w:val="20"/>
                <w:szCs w:val="20"/>
                <w14:shadow w14:blurRad="63500" w14:dist="50800" w14:dir="1140000" w14:sx="0" w14:sy="0" w14:kx="0" w14:ky="0" w14:algn="none">
                  <w14:srgbClr w14:val="000000">
                    <w14:alpha w14:val="50000"/>
                  </w14:srgbClr>
                </w14:shadow>
              </w:rPr>
            </w:pPr>
            <w:r w:rsidRP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Per i termini e le condizioni chiave dello specifico contratto da sottoscrivere con la Banca, si rinvia all’Accordo Quadro.</w:t>
            </w:r>
          </w:p>
          <w:p w14:paraId="210D7BCB" w14:textId="77777777" w:rsidR="00D234FB" w:rsidRPr="00164806"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164806">
              <w:rPr>
                <w:rFonts w:asciiTheme="majorHAnsi" w:eastAsia="Times New Roman" w:hAnsiTheme="majorHAnsi" w:cstheme="majorHAnsi"/>
                <w:b/>
                <w:color w:val="365F91" w:themeColor="accent1" w:themeShade="BF"/>
                <w:kern w:val="20"/>
                <w:sz w:val="20"/>
                <w:szCs w:val="20"/>
                <w:lang w:eastAsia="en-US"/>
              </w:rPr>
              <w:t>Investitori al dettaglio a cui si intende commercializzare il prodotto</w:t>
            </w:r>
            <w:r w:rsidRP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 </w:t>
            </w:r>
          </w:p>
          <w:p w14:paraId="1D52E5C0" w14:textId="77777777" w:rsidR="00D234FB" w:rsidRPr="003F742A" w:rsidRDefault="00D234FB" w:rsidP="00C63119">
            <w:pPr>
              <w:tabs>
                <w:tab w:val="left" w:pos="6400"/>
              </w:tabs>
              <w:jc w:val="both"/>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pPr>
            <w:r w:rsidRP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Questo prodotto è rivolto a soggetti Persone Giuridiche che:</w:t>
            </w:r>
            <w:r w:rsidR="00973757" w:rsidRP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 a) h</w:t>
            </w:r>
            <w:r w:rsidRP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anno un’adeguata conoscenza dei mercati e dei prodotti finanziari</w:t>
            </w:r>
            <w:r w:rsidR="00973757" w:rsidRP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b) h</w:t>
            </w:r>
            <w:r w:rsidRP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anno la necessità di vendere la valuta estera per soddisfare un fabbisogno commerciale e/o finanziario e intendono ridurre la variabilità dei connessi oneri finanziari.</w:t>
            </w:r>
          </w:p>
        </w:tc>
      </w:tr>
      <w:tr w:rsidR="00D234FB" w:rsidRPr="003F742A" w14:paraId="4A7D2A62" w14:textId="77777777" w:rsidTr="00746755">
        <w:tc>
          <w:tcPr>
            <w:tcW w:w="10188" w:type="dxa"/>
            <w:shd w:val="clear" w:color="auto" w:fill="D9D9D9" w:themeFill="background1" w:themeFillShade="D9"/>
          </w:tcPr>
          <w:p w14:paraId="39FD6E4C" w14:textId="77777777" w:rsidR="00D234FB" w:rsidRPr="003F742A" w:rsidRDefault="00D234FB" w:rsidP="00746755">
            <w:pPr>
              <w:tabs>
                <w:tab w:val="left" w:pos="6400"/>
              </w:tabs>
              <w:jc w:val="cente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eastAsia="Times New Roman" w:hAnsiTheme="majorHAnsi" w:cstheme="majorHAnsi"/>
                <w:b/>
                <w:color w:val="365F91" w:themeColor="accent1" w:themeShade="BF"/>
                <w:kern w:val="20"/>
                <w:sz w:val="20"/>
                <w:szCs w:val="20"/>
                <w:lang w:eastAsia="en-US"/>
              </w:rPr>
              <w:t>QUALI SONO I RISCHI E QUAL È IL POTENZIALE RENDIMENTO?</w:t>
            </w:r>
          </w:p>
        </w:tc>
      </w:tr>
      <w:tr w:rsidR="00D234FB" w:rsidRPr="003F742A" w14:paraId="2485534D" w14:textId="77777777" w:rsidTr="00746755">
        <w:tc>
          <w:tcPr>
            <w:tcW w:w="10188" w:type="dxa"/>
            <w:shd w:val="clear" w:color="auto" w:fill="auto"/>
          </w:tcPr>
          <w:p w14:paraId="3ECFC419" w14:textId="77777777" w:rsidR="00D234FB" w:rsidRPr="003F742A" w:rsidRDefault="00D234FB" w:rsidP="00746755">
            <w:pPr>
              <w:tabs>
                <w:tab w:val="left" w:pos="6400"/>
              </w:tabs>
              <w:jc w:val="both"/>
              <w:rPr>
                <w:rFonts w:asciiTheme="majorHAnsi" w:eastAsia="Times New Roman" w:hAnsiTheme="majorHAnsi" w:cstheme="majorHAnsi"/>
                <w:b/>
                <w:color w:val="365F91" w:themeColor="accent1" w:themeShade="BF"/>
                <w:kern w:val="20"/>
                <w:sz w:val="20"/>
                <w:szCs w:val="20"/>
                <w:lang w:eastAsia="en-US"/>
              </w:rPr>
            </w:pPr>
            <w:r w:rsidRPr="003F742A">
              <w:rPr>
                <w:rFonts w:asciiTheme="majorHAnsi" w:eastAsia="Times New Roman" w:hAnsiTheme="majorHAnsi" w:cstheme="majorHAnsi"/>
                <w:b/>
                <w:color w:val="365F91" w:themeColor="accent1" w:themeShade="BF"/>
                <w:kern w:val="20"/>
                <w:sz w:val="20"/>
                <w:szCs w:val="20"/>
                <w:lang w:eastAsia="en-US"/>
              </w:rPr>
              <w:t xml:space="preserve">Indicatore di rischio </w:t>
            </w:r>
          </w:p>
          <w:p w14:paraId="43A2CC66" w14:textId="77777777" w:rsidR="00D234FB" w:rsidRPr="003F742A"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Indicatore sintetico di rischio (SRI): di seguito l’indicatore di rischio del prodotto</w:t>
            </w:r>
          </w:p>
          <w:tbl>
            <w:tblPr>
              <w:tblStyle w:val="Grigliatabella"/>
              <w:tblW w:w="0" w:type="auto"/>
              <w:tblLook w:val="04A0" w:firstRow="1" w:lastRow="0" w:firstColumn="1" w:lastColumn="0" w:noHBand="0" w:noVBand="1"/>
            </w:tblPr>
            <w:tblGrid>
              <w:gridCol w:w="1421"/>
              <w:gridCol w:w="1420"/>
              <w:gridCol w:w="1420"/>
              <w:gridCol w:w="1420"/>
              <w:gridCol w:w="1420"/>
              <w:gridCol w:w="1420"/>
              <w:gridCol w:w="1421"/>
            </w:tblGrid>
            <w:tr w:rsidR="00D234FB" w:rsidRPr="003F742A" w14:paraId="7BD67C42" w14:textId="77777777" w:rsidTr="00746755">
              <w:tc>
                <w:tcPr>
                  <w:tcW w:w="1423"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57882C4F" w14:textId="77777777" w:rsidR="00D234FB" w:rsidRPr="003F742A" w:rsidRDefault="00D234FB" w:rsidP="00746755">
                  <w:pPr>
                    <w:tabs>
                      <w:tab w:val="left" w:pos="6400"/>
                    </w:tabs>
                    <w:jc w:val="cente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17365D" w:themeColor="text2" w:themeShade="BF"/>
                      <w:sz w:val="20"/>
                      <w:szCs w:val="20"/>
                      <w14:shadow w14:blurRad="63500" w14:dist="50800" w14:dir="1140000" w14:sx="0" w14:sy="0" w14:kx="0" w14:ky="0" w14:algn="none">
                        <w14:srgbClr w14:val="000000">
                          <w14:alpha w14:val="50000"/>
                        </w14:srgbClr>
                      </w14:shadow>
                    </w:rPr>
                    <w:t>1</w:t>
                  </w:r>
                </w:p>
              </w:tc>
              <w:tc>
                <w:tcPr>
                  <w:tcW w:w="1423"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1E18C8F0" w14:textId="77777777" w:rsidR="00D234FB" w:rsidRPr="003F742A" w:rsidRDefault="00D234FB" w:rsidP="00746755">
                  <w:pPr>
                    <w:tabs>
                      <w:tab w:val="left" w:pos="6400"/>
                    </w:tabs>
                    <w:jc w:val="center"/>
                    <w:rPr>
                      <w:rFonts w:asciiTheme="majorHAnsi" w:hAnsiTheme="majorHAnsi" w:cstheme="majorHAnsi"/>
                      <w:color w:val="17365D" w:themeColor="text2" w:themeShade="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17365D" w:themeColor="text2" w:themeShade="BF"/>
                      <w:sz w:val="20"/>
                      <w:szCs w:val="20"/>
                      <w14:shadow w14:blurRad="63500" w14:dist="50800" w14:dir="1140000" w14:sx="0" w14:sy="0" w14:kx="0" w14:ky="0" w14:algn="none">
                        <w14:srgbClr w14:val="000000">
                          <w14:alpha w14:val="50000"/>
                        </w14:srgbClr>
                      </w14:shadow>
                    </w:rPr>
                    <w:t>2</w:t>
                  </w:r>
                </w:p>
              </w:tc>
              <w:tc>
                <w:tcPr>
                  <w:tcW w:w="1423"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37E16ACA" w14:textId="77777777" w:rsidR="00D234FB" w:rsidRPr="003F742A" w:rsidRDefault="00D234FB" w:rsidP="00746755">
                  <w:pPr>
                    <w:tabs>
                      <w:tab w:val="left" w:pos="6400"/>
                    </w:tabs>
                    <w:jc w:val="center"/>
                    <w:rPr>
                      <w:rFonts w:asciiTheme="majorHAnsi" w:hAnsiTheme="majorHAnsi" w:cstheme="majorHAnsi"/>
                      <w:color w:val="17365D" w:themeColor="text2" w:themeShade="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17365D" w:themeColor="text2" w:themeShade="BF"/>
                      <w:sz w:val="20"/>
                      <w:szCs w:val="20"/>
                      <w14:shadow w14:blurRad="63500" w14:dist="50800" w14:dir="1140000" w14:sx="0" w14:sy="0" w14:kx="0" w14:ky="0" w14:algn="none">
                        <w14:srgbClr w14:val="000000">
                          <w14:alpha w14:val="50000"/>
                        </w14:srgbClr>
                      </w14:shadow>
                    </w:rPr>
                    <w:t>3</w:t>
                  </w:r>
                </w:p>
              </w:tc>
              <w:tc>
                <w:tcPr>
                  <w:tcW w:w="1423"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5DCAABC9" w14:textId="77777777" w:rsidR="00D234FB" w:rsidRPr="003F742A" w:rsidRDefault="00D234FB" w:rsidP="00746755">
                  <w:pPr>
                    <w:tabs>
                      <w:tab w:val="left" w:pos="6400"/>
                    </w:tabs>
                    <w:jc w:val="center"/>
                    <w:rPr>
                      <w:rFonts w:asciiTheme="majorHAnsi" w:hAnsiTheme="majorHAnsi" w:cstheme="majorHAnsi"/>
                      <w:color w:val="17365D" w:themeColor="text2" w:themeShade="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17365D" w:themeColor="text2" w:themeShade="BF"/>
                      <w:sz w:val="20"/>
                      <w:szCs w:val="20"/>
                      <w14:shadow w14:blurRad="63500" w14:dist="50800" w14:dir="1140000" w14:sx="0" w14:sy="0" w14:kx="0" w14:ky="0" w14:algn="none">
                        <w14:srgbClr w14:val="000000">
                          <w14:alpha w14:val="50000"/>
                        </w14:srgbClr>
                      </w14:shadow>
                    </w:rPr>
                    <w:t>4</w:t>
                  </w:r>
                </w:p>
              </w:tc>
              <w:tc>
                <w:tcPr>
                  <w:tcW w:w="1423"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432D2725" w14:textId="77777777" w:rsidR="00D234FB" w:rsidRPr="003F742A" w:rsidRDefault="00D234FB" w:rsidP="00746755">
                  <w:pPr>
                    <w:tabs>
                      <w:tab w:val="left" w:pos="6400"/>
                    </w:tabs>
                    <w:jc w:val="center"/>
                    <w:rPr>
                      <w:rFonts w:asciiTheme="majorHAnsi" w:hAnsiTheme="majorHAnsi" w:cstheme="majorHAnsi"/>
                      <w:color w:val="17365D" w:themeColor="text2" w:themeShade="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17365D" w:themeColor="text2" w:themeShade="BF"/>
                      <w:sz w:val="20"/>
                      <w:szCs w:val="20"/>
                      <w14:shadow w14:blurRad="63500" w14:dist="50800" w14:dir="1140000" w14:sx="0" w14:sy="0" w14:kx="0" w14:ky="0" w14:algn="none">
                        <w14:srgbClr w14:val="000000">
                          <w14:alpha w14:val="50000"/>
                        </w14:srgbClr>
                      </w14:shadow>
                    </w:rPr>
                    <w:t>5</w:t>
                  </w:r>
                </w:p>
              </w:tc>
              <w:tc>
                <w:tcPr>
                  <w:tcW w:w="1423"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36438A36" w14:textId="77777777" w:rsidR="00D234FB" w:rsidRPr="003F742A" w:rsidRDefault="00D234FB" w:rsidP="00746755">
                  <w:pPr>
                    <w:tabs>
                      <w:tab w:val="left" w:pos="6400"/>
                    </w:tabs>
                    <w:jc w:val="center"/>
                    <w:rPr>
                      <w:rFonts w:asciiTheme="majorHAnsi" w:hAnsiTheme="majorHAnsi" w:cstheme="majorHAnsi"/>
                      <w:color w:val="17365D" w:themeColor="text2" w:themeShade="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17365D" w:themeColor="text2" w:themeShade="BF"/>
                      <w:sz w:val="20"/>
                      <w:szCs w:val="20"/>
                      <w14:shadow w14:blurRad="63500" w14:dist="50800" w14:dir="1140000" w14:sx="0" w14:sy="0" w14:kx="0" w14:ky="0" w14:algn="none">
                        <w14:srgbClr w14:val="000000">
                          <w14:alpha w14:val="50000"/>
                        </w14:srgbClr>
                      </w14:shadow>
                    </w:rPr>
                    <w:t>6</w:t>
                  </w:r>
                </w:p>
              </w:tc>
              <w:tc>
                <w:tcPr>
                  <w:tcW w:w="142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365F91" w:themeFill="accent1" w:themeFillShade="BF"/>
                </w:tcPr>
                <w:p w14:paraId="581A164D" w14:textId="77777777" w:rsidR="00D234FB" w:rsidRPr="003F742A" w:rsidRDefault="00D234FB" w:rsidP="00746755">
                  <w:pPr>
                    <w:tabs>
                      <w:tab w:val="left" w:pos="6400"/>
                    </w:tabs>
                    <w:jc w:val="center"/>
                    <w:rPr>
                      <w:rFonts w:asciiTheme="majorHAnsi" w:hAnsiTheme="majorHAnsi" w:cstheme="majorHAnsi"/>
                      <w:color w:val="FFFFFF" w:themeColor="background1"/>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FFFFFF" w:themeColor="background1"/>
                      <w:sz w:val="20"/>
                      <w:szCs w:val="20"/>
                      <w14:shadow w14:blurRad="63500" w14:dist="50800" w14:dir="1140000" w14:sx="0" w14:sy="0" w14:kx="0" w14:ky="0" w14:algn="none">
                        <w14:srgbClr w14:val="000000">
                          <w14:alpha w14:val="50000"/>
                        </w14:srgbClr>
                      </w14:shadow>
                    </w:rPr>
                    <w:t>7</w:t>
                  </w:r>
                </w:p>
              </w:tc>
            </w:tr>
          </w:tbl>
          <w:p w14:paraId="6E69EC94" w14:textId="77777777" w:rsidR="00D234FB" w:rsidRPr="003F742A"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Rischio più basso                                                                                                                                              Rischio più alto</w:t>
            </w:r>
          </w:p>
          <w:p w14:paraId="70A5ECAA" w14:textId="77777777" w:rsidR="00D234FB" w:rsidRPr="003F742A" w:rsidRDefault="00D234FB" w:rsidP="00746755">
            <w:pPr>
              <w:tabs>
                <w:tab w:val="left" w:pos="6400"/>
              </w:tabs>
              <w:jc w:val="cente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noProof/>
                <w:color w:val="404040" w:themeColor="text1" w:themeTint="BF"/>
                <w:sz w:val="20"/>
                <w:szCs w:val="20"/>
              </w:rPr>
              <mc:AlternateContent>
                <mc:Choice Requires="wps">
                  <w:drawing>
                    <wp:anchor distT="0" distB="0" distL="114300" distR="114300" simplePos="0" relativeHeight="251659264" behindDoc="0" locked="0" layoutInCell="1" allowOverlap="1" wp14:anchorId="43F65C40" wp14:editId="5D3DD0A6">
                      <wp:simplePos x="0" y="0"/>
                      <wp:positionH relativeFrom="column">
                        <wp:posOffset>110</wp:posOffset>
                      </wp:positionH>
                      <wp:positionV relativeFrom="paragraph">
                        <wp:posOffset>29569</wp:posOffset>
                      </wp:positionV>
                      <wp:extent cx="6337190" cy="0"/>
                      <wp:effectExtent l="57150" t="76200" r="26035" b="133350"/>
                      <wp:wrapNone/>
                      <wp:docPr id="1" name="Connettore diritto 1"/>
                      <wp:cNvGraphicFramePr/>
                      <a:graphic xmlns:a="http://schemas.openxmlformats.org/drawingml/2006/main">
                        <a:graphicData uri="http://schemas.microsoft.com/office/word/2010/wordprocessingShape">
                          <wps:wsp>
                            <wps:cNvCnPr/>
                            <wps:spPr>
                              <a:xfrm>
                                <a:off x="0" y="0"/>
                                <a:ext cx="6337190" cy="0"/>
                              </a:xfrm>
                              <a:prstGeom prst="line">
                                <a:avLst/>
                              </a:prstGeom>
                              <a:ln w="25400" cmpd="sng">
                                <a:solidFill>
                                  <a:schemeClr val="accent1"/>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5820627" id="Connettore dirit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35pt" to="499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" strokecolor="#4f81bd [3204]" strokeweight="2pt">
                      <v:stroke startarrow="block" endarrow="block"/>
                      <v:shadow on="t" color="black" opacity="24903f" origin=",.5" offset="0,.55556mm"/>
                    </v:line>
                  </w:pict>
                </mc:Fallback>
              </mc:AlternateContent>
            </w:r>
          </w:p>
          <w:p w14:paraId="28751C30" w14:textId="77777777" w:rsidR="008834A8" w:rsidRDefault="008834A8"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p>
          <w:p w14:paraId="2FC71C9A" w14:textId="77777777" w:rsidR="00D234FB" w:rsidRPr="003F742A" w:rsidRDefault="008834A8"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noProof/>
                <w:color w:val="404040" w:themeColor="text1" w:themeTint="BF"/>
                <w:sz w:val="20"/>
                <w:szCs w:val="20"/>
                <w14:shadow w14:blurRad="63500" w14:dist="50800" w14:dir="1140000" w14:sx="0" w14:sy="0" w14:kx="0" w14:ky="0" w14:algn="none">
                  <w14:srgbClr w14:val="000000">
                    <w14:alpha w14:val="50000"/>
                  </w14:srgbClr>
                </w14:shadow>
              </w:rPr>
              <mc:AlternateContent>
                <mc:Choice Requires="wps">
                  <w:drawing>
                    <wp:anchor distT="45720" distB="45720" distL="114300" distR="114300" simplePos="0" relativeHeight="251660288" behindDoc="0" locked="0" layoutInCell="1" allowOverlap="1" wp14:anchorId="277A627F" wp14:editId="1D217516">
                      <wp:simplePos x="0" y="0"/>
                      <wp:positionH relativeFrom="column">
                        <wp:posOffset>1248031</wp:posOffset>
                      </wp:positionH>
                      <wp:positionV relativeFrom="paragraph">
                        <wp:posOffset>126975</wp:posOffset>
                      </wp:positionV>
                      <wp:extent cx="5064125" cy="1404620"/>
                      <wp:effectExtent l="0" t="0" r="22225" b="1841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4125" cy="1404620"/>
                              </a:xfrm>
                              <a:prstGeom prst="rect">
                                <a:avLst/>
                              </a:prstGeom>
                              <a:solidFill>
                                <a:schemeClr val="bg1">
                                  <a:lumMod val="95000"/>
                                </a:schemeClr>
                              </a:solidFill>
                              <a:ln w="12700">
                                <a:solidFill>
                                  <a:schemeClr val="accent1"/>
                                </a:solidFill>
                                <a:miter lim="800000"/>
                                <a:headEnd/>
                                <a:tailEnd/>
                              </a:ln>
                            </wps:spPr>
                            <wps:txbx>
                              <w:txbxContent>
                                <w:p w14:paraId="7691A8A1" w14:textId="77777777" w:rsidR="00D234FB" w:rsidRPr="007771AE" w:rsidRDefault="00D234FB" w:rsidP="00D234FB">
                                  <w:pPr>
                                    <w:jc w:val="both"/>
                                    <w:rPr>
                                      <w:rFonts w:asciiTheme="majorHAnsi" w:hAnsiTheme="majorHAnsi" w:cstheme="majorHAnsi"/>
                                      <w:color w:val="404040" w:themeColor="text1" w:themeTint="BF"/>
                                      <w:sz w:val="20"/>
                                      <w:szCs w:val="22"/>
                                      <w14:shadow w14:blurRad="63500" w14:dist="50800" w14:dir="1140000" w14:sx="0" w14:sy="0" w14:kx="0" w14:ky="0" w14:algn="none">
                                        <w14:srgbClr w14:val="000000">
                                          <w14:alpha w14:val="50000"/>
                                        </w14:srgbClr>
                                      </w14:shadow>
                                    </w:rPr>
                                  </w:pPr>
                                  <w:r w:rsidRPr="007771AE">
                                    <w:rPr>
                                      <w:rFonts w:asciiTheme="majorHAnsi" w:hAnsiTheme="majorHAnsi" w:cstheme="majorHAnsi"/>
                                      <w:color w:val="404040" w:themeColor="text1" w:themeTint="BF"/>
                                      <w:sz w:val="20"/>
                                      <w:szCs w:val="22"/>
                                      <w14:shadow w14:blurRad="63500" w14:dist="50800" w14:dir="1140000" w14:sx="0" w14:sy="0" w14:kx="0" w14:ky="0" w14:algn="none">
                                        <w14:srgbClr w14:val="000000">
                                          <w14:alpha w14:val="50000"/>
                                        </w14:srgbClr>
                                      </w14:shadow>
                                    </w:rPr>
                                    <w:t>L’indicatore di rischio presuppone che il prodotto sia detenuto fino a scadenza. Il rischio effettivo può variare significativamente in caso di estinzione anticipata. Può non essere possibile estinguere anticipatamente il prodotto. Potrebbe essere necessario sostenere notevoli costi supplementari per estinguere anticipatamente il prodotto.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7A627F" id="_x0000_t202" coordsize="21600,21600" o:spt="202" path="m,l,21600r21600,l21600,xe">
                      <v:stroke joinstyle="miter"/>
                      <v:path gradientshapeok="t" o:connecttype="rect"/>
                    </v:shapetype>
                    <v:shape id="Casella di testo 2" o:spid="_x0000_s1026" type="#_x0000_t202" style="position:absolute;left:0;text-align:left;margin-left:98.25pt;margin-top:10pt;width:398.7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" fillcolor="#f2f2f2 [3052]" strokecolor="#4f81bd [3204]" strokeweight="1pt">
                      <v:textbox style="mso-fit-shape-to-text:t">
                        <w:txbxContent>
                          <w:p w14:paraId="7691A8A1" w14:textId="77777777" w:rsidR="00D234FB" w:rsidRPr="007771AE" w:rsidRDefault="00D234FB" w:rsidP="00D234FB">
                            <w:pPr>
                              <w:jc w:val="both"/>
                              <w:rPr>
                                <w:rFonts w:asciiTheme="majorHAnsi" w:hAnsiTheme="majorHAnsi" w:cstheme="majorHAnsi"/>
                                <w:color w:val="404040" w:themeColor="text1" w:themeTint="BF"/>
                                <w:sz w:val="20"/>
                                <w:szCs w:val="22"/>
                                <w14:shadow w14:blurRad="63500" w14:dist="50800" w14:dir="1140000" w14:sx="0" w14:sy="0" w14:kx="0" w14:ky="0" w14:algn="none">
                                  <w14:srgbClr w14:val="000000">
                                    <w14:alpha w14:val="50000"/>
                                  </w14:srgbClr>
                                </w14:shadow>
                              </w:rPr>
                            </w:pPr>
                            <w:r w:rsidRPr="007771AE">
                              <w:rPr>
                                <w:rFonts w:asciiTheme="majorHAnsi" w:hAnsiTheme="majorHAnsi" w:cstheme="majorHAnsi"/>
                                <w:color w:val="404040" w:themeColor="text1" w:themeTint="BF"/>
                                <w:sz w:val="20"/>
                                <w:szCs w:val="22"/>
                                <w14:shadow w14:blurRad="63500" w14:dist="50800" w14:dir="1140000" w14:sx="0" w14:sy="0" w14:kx="0" w14:ky="0" w14:algn="none">
                                  <w14:srgbClr w14:val="000000">
                                    <w14:alpha w14:val="50000"/>
                                  </w14:srgbClr>
                                </w14:shadow>
                              </w:rPr>
                              <w:t>L’indicatore di rischio presuppone che il prodotto sia detenuto fino a scadenza. Il rischio effettivo può variare significativamente in caso di estinzione anticipata. Può non essere possibile estinguere anticipatamente il prodotto. Potrebbe essere necessario sostenere notevoli costi supplementari per estinguere anticipatamente il prodotto.</w:t>
                            </w:r>
                          </w:p>
                        </w:txbxContent>
                      </v:textbox>
                      <w10:wrap type="square"/>
                    </v:shape>
                  </w:pict>
                </mc:Fallback>
              </mc:AlternateContent>
            </w:r>
          </w:p>
          <w:p w14:paraId="04A11E82" w14:textId="77777777" w:rsidR="00D234FB" w:rsidRPr="003F742A" w:rsidRDefault="008834A8" w:rsidP="00746755">
            <w:pPr>
              <w:tabs>
                <w:tab w:val="left" w:pos="6400"/>
              </w:tabs>
              <w:ind w:left="171"/>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521D0D">
              <w:rPr>
                <w:rFonts w:asciiTheme="majorHAnsi" w:hAnsiTheme="majorHAnsi" w:cstheme="majorHAnsi"/>
                <w:noProof/>
                <w:color w:val="404040" w:themeColor="text1" w:themeTint="BF"/>
                <w:sz w:val="20"/>
                <w:szCs w:val="20"/>
                <w14:shadow w14:blurRad="63500" w14:dist="50800" w14:dir="1140000" w14:sx="0" w14:sy="0" w14:kx="0" w14:ky="0" w14:algn="none">
                  <w14:srgbClr w14:val="000000">
                    <w14:alpha w14:val="50000"/>
                  </w14:srgbClr>
                </w14:shadow>
              </w:rPr>
              <w:drawing>
                <wp:inline distT="0" distB="0" distL="0" distR="0" wp14:anchorId="27958364" wp14:editId="2DDE6839">
                  <wp:extent cx="731520" cy="62042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9264" cy="626988"/>
                          </a:xfrm>
                          <a:prstGeom prst="rect">
                            <a:avLst/>
                          </a:prstGeom>
                          <a:noFill/>
                          <a:ln>
                            <a:noFill/>
                          </a:ln>
                        </pic:spPr>
                      </pic:pic>
                    </a:graphicData>
                  </a:graphic>
                </wp:inline>
              </w:drawing>
            </w:r>
          </w:p>
          <w:p w14:paraId="341C1D8B" w14:textId="0E7BD82A" w:rsidR="00C477F6" w:rsidRDefault="00C477F6" w:rsidP="00746755">
            <w:pPr>
              <w:tabs>
                <w:tab w:val="left" w:pos="6400"/>
              </w:tabs>
              <w:jc w:val="both"/>
              <w:rPr>
                <w:rFonts w:asciiTheme="majorHAnsi" w:hAnsiTheme="majorHAnsi" w:cstheme="majorHAnsi"/>
                <w:sz w:val="20"/>
                <w:szCs w:val="20"/>
              </w:rPr>
            </w:pPr>
          </w:p>
          <w:p w14:paraId="40207B9B" w14:textId="7C2648AA" w:rsidR="00DF04CF" w:rsidRDefault="00DF04CF" w:rsidP="00746755">
            <w:pPr>
              <w:tabs>
                <w:tab w:val="left" w:pos="6400"/>
              </w:tabs>
              <w:jc w:val="both"/>
              <w:rPr>
                <w:rFonts w:asciiTheme="majorHAnsi" w:hAnsiTheme="majorHAnsi" w:cstheme="majorHAnsi"/>
                <w:sz w:val="20"/>
                <w:szCs w:val="20"/>
              </w:rPr>
            </w:pPr>
          </w:p>
          <w:p w14:paraId="63BE92AC" w14:textId="3D748967" w:rsidR="00DF04CF" w:rsidRDefault="00DF04CF" w:rsidP="00746755">
            <w:pPr>
              <w:tabs>
                <w:tab w:val="left" w:pos="6400"/>
              </w:tabs>
              <w:jc w:val="both"/>
              <w:rPr>
                <w:rFonts w:asciiTheme="majorHAnsi" w:hAnsiTheme="majorHAnsi" w:cstheme="majorHAnsi"/>
                <w:sz w:val="20"/>
                <w:szCs w:val="20"/>
              </w:rPr>
            </w:pPr>
          </w:p>
          <w:p w14:paraId="3AC81BD2" w14:textId="77777777" w:rsidR="00DF04CF" w:rsidRDefault="00DF04CF" w:rsidP="00746755">
            <w:pPr>
              <w:tabs>
                <w:tab w:val="left" w:pos="6400"/>
              </w:tabs>
              <w:jc w:val="both"/>
              <w:rPr>
                <w:rFonts w:asciiTheme="majorHAnsi" w:hAnsiTheme="majorHAnsi" w:cstheme="majorHAnsi"/>
                <w:sz w:val="20"/>
                <w:szCs w:val="20"/>
              </w:rPr>
            </w:pPr>
            <w:bookmarkStart w:id="0" w:name="_GoBack"/>
            <w:bookmarkEnd w:id="0"/>
          </w:p>
          <w:p w14:paraId="35A63FCE" w14:textId="77777777" w:rsidR="00D234FB" w:rsidRDefault="00D234FB" w:rsidP="00746755">
            <w:pPr>
              <w:tabs>
                <w:tab w:val="left" w:pos="6400"/>
              </w:tabs>
              <w:jc w:val="both"/>
              <w:rPr>
                <w:rFonts w:asciiTheme="majorHAnsi" w:hAnsiTheme="majorHAnsi" w:cstheme="majorHAnsi"/>
                <w:sz w:val="20"/>
                <w:szCs w:val="20"/>
              </w:rPr>
            </w:pPr>
            <w:r w:rsidRPr="003F742A">
              <w:rPr>
                <w:rFonts w:asciiTheme="majorHAnsi" w:hAnsiTheme="majorHAnsi" w:cstheme="majorHAnsi"/>
                <w:sz w:val="20"/>
                <w:szCs w:val="20"/>
              </w:rPr>
              <w:lastRenderedPageBreak/>
              <w:t xml:space="preserve">L'indicatore sintetico di rischio è un'indicazione orientativa del livello di rischio di questo prodotto rispetto ad altri prodotti. Esso esprime il rischio che il prodotto possa subire perdite monetarie a causa di movimenti sul mercato o a causa della incapacità della Banca di pagare quanto dovuto. Abbiamo classificato questo prodotto al livello 7 su 7, che corrisponde alla classe di rischio più alta. Questo significa che, in caso di andamento sfavorevole del mercato, il cliente può incorrere in perdite significative. </w:t>
            </w:r>
            <w:r w:rsidR="00B9386A">
              <w:rPr>
                <w:rFonts w:asciiTheme="majorHAnsi" w:hAnsiTheme="majorHAnsi" w:cstheme="majorHAnsi"/>
                <w:sz w:val="20"/>
                <w:szCs w:val="20"/>
              </w:rPr>
              <w:t xml:space="preserve">  </w:t>
            </w:r>
            <w:r w:rsidR="00102343" w:rsidRPr="007C4817">
              <w:rPr>
                <w:rFonts w:asciiTheme="majorHAnsi" w:hAnsiTheme="majorHAnsi" w:cstheme="majorHAnsi"/>
                <w:sz w:val="20"/>
                <w:szCs w:val="20"/>
              </w:rPr>
              <w:t xml:space="preserve"> Non è richiesto un investimento iniziale. In caso di estinzione anticipata del prodotto il cliente è tenuto ad effettuare i</w:t>
            </w:r>
            <w:r w:rsidR="006E7AAF">
              <w:rPr>
                <w:rFonts w:asciiTheme="majorHAnsi" w:hAnsiTheme="majorHAnsi" w:cstheme="majorHAnsi"/>
                <w:sz w:val="20"/>
                <w:szCs w:val="20"/>
              </w:rPr>
              <w:t>l pagamento specificato</w:t>
            </w:r>
            <w:r w:rsidR="00102343" w:rsidRPr="007C4817">
              <w:rPr>
                <w:rFonts w:asciiTheme="majorHAnsi" w:hAnsiTheme="majorHAnsi" w:cstheme="majorHAnsi"/>
                <w:sz w:val="20"/>
                <w:szCs w:val="20"/>
              </w:rPr>
              <w:t xml:space="preserve"> nella sezione 'Per quanto tempo devo detenerlo? Posso ritirare il capitale prematuramente?'.</w:t>
            </w:r>
          </w:p>
          <w:p w14:paraId="45EA814D" w14:textId="77777777" w:rsidR="00D234FB" w:rsidRPr="003F742A" w:rsidRDefault="00D234FB" w:rsidP="00746755">
            <w:pPr>
              <w:tabs>
                <w:tab w:val="left" w:pos="6400"/>
              </w:tabs>
              <w:jc w:val="both"/>
              <w:rPr>
                <w:rFonts w:asciiTheme="majorHAnsi" w:eastAsia="Times New Roman" w:hAnsiTheme="majorHAnsi" w:cstheme="majorHAnsi"/>
                <w:b/>
                <w:color w:val="365F91" w:themeColor="accent1" w:themeShade="BF"/>
                <w:kern w:val="20"/>
                <w:sz w:val="20"/>
                <w:szCs w:val="20"/>
                <w:lang w:eastAsia="en-US"/>
              </w:rPr>
            </w:pPr>
            <w:r w:rsidRPr="003F742A">
              <w:rPr>
                <w:rFonts w:asciiTheme="majorHAnsi" w:eastAsia="Times New Roman" w:hAnsiTheme="majorHAnsi" w:cstheme="majorHAnsi"/>
                <w:b/>
                <w:color w:val="365F91" w:themeColor="accent1" w:themeShade="BF"/>
                <w:kern w:val="20"/>
                <w:sz w:val="20"/>
                <w:szCs w:val="20"/>
                <w:lang w:eastAsia="en-US"/>
              </w:rPr>
              <w:t>Scenari di performance</w:t>
            </w:r>
          </w:p>
          <w:tbl>
            <w:tblPr>
              <w:tblStyle w:val="Tabellagriglia2-colore11"/>
              <w:tblW w:w="9818" w:type="dxa"/>
              <w:tblLook w:val="04A0" w:firstRow="1" w:lastRow="0" w:firstColumn="1" w:lastColumn="0" w:noHBand="0" w:noVBand="1"/>
            </w:tblPr>
            <w:tblGrid>
              <w:gridCol w:w="2155"/>
              <w:gridCol w:w="3828"/>
              <w:gridCol w:w="3827"/>
              <w:gridCol w:w="8"/>
            </w:tblGrid>
            <w:tr w:rsidR="00D234FB" w:rsidRPr="00521D0D" w14:paraId="5638E731" w14:textId="77777777" w:rsidTr="00746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8" w:type="dxa"/>
                  <w:gridSpan w:val="4"/>
                </w:tcPr>
                <w:p w14:paraId="506F3B0B" w14:textId="62B991F2" w:rsidR="00D234FB" w:rsidRPr="00521D0D"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521D0D">
                    <w:rPr>
                      <w:rFonts w:asciiTheme="majorHAnsi" w:hAnsiTheme="majorHAnsi" w:cstheme="majorHAnsi"/>
                      <w:sz w:val="20"/>
                      <w:szCs w:val="20"/>
                    </w:rPr>
                    <w:t>IMPORTO NOZIONALE</w:t>
                  </w:r>
                  <w:r w:rsidRPr="00521D0D">
                    <w:rPr>
                      <w:rStyle w:val="Rimandonotaapidipagina"/>
                      <w:rFonts w:asciiTheme="majorHAnsi" w:hAnsiTheme="majorHAnsi" w:cstheme="majorHAnsi"/>
                      <w:sz w:val="20"/>
                      <w:szCs w:val="20"/>
                    </w:rPr>
                    <w:footnoteReference w:id="1"/>
                  </w:r>
                  <w:r w:rsidRPr="00521D0D">
                    <w:rPr>
                      <w:rFonts w:asciiTheme="majorHAnsi" w:hAnsiTheme="majorHAnsi" w:cstheme="majorHAnsi"/>
                      <w:sz w:val="20"/>
                      <w:szCs w:val="20"/>
                    </w:rPr>
                    <w:t xml:space="preserve"> EUR 10.000</w:t>
                  </w:r>
                  <w:r w:rsidR="00213B45">
                    <w:rPr>
                      <w:rFonts w:asciiTheme="majorHAnsi" w:hAnsiTheme="majorHAnsi" w:cstheme="majorHAnsi"/>
                      <w:sz w:val="20"/>
                      <w:szCs w:val="20"/>
                    </w:rPr>
                    <w:t xml:space="preserve"> scadenza contrattuale 12</w:t>
                  </w:r>
                  <w:r w:rsidR="00C477F6">
                    <w:rPr>
                      <w:rFonts w:asciiTheme="majorHAnsi" w:hAnsiTheme="majorHAnsi" w:cstheme="majorHAnsi"/>
                      <w:sz w:val="20"/>
                      <w:szCs w:val="20"/>
                    </w:rPr>
                    <w:t xml:space="preserve"> mesi </w:t>
                  </w:r>
                </w:p>
              </w:tc>
            </w:tr>
            <w:tr w:rsidR="00D234FB" w:rsidRPr="00521D0D" w14:paraId="1E9195C6" w14:textId="77777777" w:rsidTr="00746755">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2155" w:type="dxa"/>
                </w:tcPr>
                <w:p w14:paraId="600A269B" w14:textId="77777777" w:rsidR="00D234FB" w:rsidRPr="00521D0D" w:rsidRDefault="00D234FB" w:rsidP="00746755">
                  <w:pPr>
                    <w:tabs>
                      <w:tab w:val="left" w:pos="6400"/>
                    </w:tabs>
                    <w:jc w:val="both"/>
                    <w:rPr>
                      <w:rFonts w:asciiTheme="majorHAnsi" w:hAnsiTheme="majorHAnsi" w:cstheme="majorHAnsi"/>
                      <w:b w:val="0"/>
                      <w:color w:val="404040" w:themeColor="text1" w:themeTint="BF"/>
                      <w:sz w:val="20"/>
                      <w:szCs w:val="20"/>
                      <w14:shadow w14:blurRad="63500" w14:dist="50800" w14:dir="1140000" w14:sx="0" w14:sy="0" w14:kx="0" w14:ky="0" w14:algn="none">
                        <w14:srgbClr w14:val="000000">
                          <w14:alpha w14:val="50000"/>
                        </w14:srgbClr>
                      </w14:shadow>
                    </w:rPr>
                  </w:pPr>
                  <w:r w:rsidRPr="00521D0D">
                    <w:rPr>
                      <w:rFonts w:asciiTheme="majorHAnsi" w:eastAsia="Times New Roman" w:hAnsiTheme="majorHAnsi" w:cstheme="majorHAnsi"/>
                      <w:bCs w:val="0"/>
                      <w:color w:val="365F91" w:themeColor="accent1" w:themeShade="BF"/>
                      <w:kern w:val="20"/>
                      <w:sz w:val="20"/>
                      <w:szCs w:val="20"/>
                      <w:lang w:eastAsia="en-US"/>
                    </w:rPr>
                    <w:t>SCENARI</w:t>
                  </w:r>
                </w:p>
              </w:tc>
              <w:tc>
                <w:tcPr>
                  <w:tcW w:w="3828" w:type="dxa"/>
                </w:tcPr>
                <w:p w14:paraId="0077E00E" w14:textId="77777777" w:rsidR="00D234FB" w:rsidRPr="00521D0D" w:rsidRDefault="00D234FB"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365F91" w:themeColor="accent1" w:themeShade="BF"/>
                      <w:sz w:val="20"/>
                      <w:szCs w:val="20"/>
                      <w14:shadow w14:blurRad="63500" w14:dist="50800" w14:dir="1140000" w14:sx="0" w14:sy="0" w14:kx="0" w14:ky="0" w14:algn="none">
                        <w14:srgbClr w14:val="000000">
                          <w14:alpha w14:val="50000"/>
                        </w14:srgbClr>
                      </w14:shadow>
                    </w:rPr>
                  </w:pPr>
                </w:p>
              </w:tc>
              <w:tc>
                <w:tcPr>
                  <w:tcW w:w="3827" w:type="dxa"/>
                </w:tcPr>
                <w:p w14:paraId="11DB211A" w14:textId="01996EAE" w:rsidR="00D234FB" w:rsidRPr="00521D0D" w:rsidRDefault="009A4D72" w:rsidP="00746755">
                  <w:pPr>
                    <w:tabs>
                      <w:tab w:val="left" w:pos="640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365F91" w:themeColor="accent1" w:themeShade="BF"/>
                      <w:sz w:val="20"/>
                      <w:szCs w:val="20"/>
                      <w14:shadow w14:blurRad="63500" w14:dist="50800" w14:dir="1140000" w14:sx="0" w14:sy="0" w14:kx="0" w14:ky="0" w14:algn="none">
                        <w14:srgbClr w14:val="000000">
                          <w14:alpha w14:val="50000"/>
                        </w14:srgbClr>
                      </w14:shadow>
                    </w:rPr>
                  </w:pPr>
                  <w:r>
                    <w:rPr>
                      <w:rFonts w:asciiTheme="majorHAnsi" w:hAnsiTheme="majorHAnsi" w:cstheme="majorHAnsi"/>
                      <w:color w:val="365F91" w:themeColor="accent1" w:themeShade="BF"/>
                      <w:sz w:val="20"/>
                      <w:szCs w:val="20"/>
                      <w14:shadow w14:blurRad="63500" w14:dist="50800" w14:dir="1140000" w14:sx="0" w14:sy="0" w14:kx="0" w14:ky="0" w14:algn="none">
                        <w14:srgbClr w14:val="000000">
                          <w14:alpha w14:val="50000"/>
                        </w14:srgbClr>
                      </w14:shadow>
                    </w:rPr>
                    <w:t>12</w:t>
                  </w:r>
                  <w:r w:rsidR="00D234FB" w:rsidRPr="00521D0D">
                    <w:rPr>
                      <w:rFonts w:asciiTheme="majorHAnsi" w:hAnsiTheme="majorHAnsi" w:cstheme="majorHAnsi"/>
                      <w:color w:val="365F91" w:themeColor="accent1" w:themeShade="BF"/>
                      <w:sz w:val="20"/>
                      <w:szCs w:val="20"/>
                      <w14:shadow w14:blurRad="63500" w14:dist="50800" w14:dir="1140000" w14:sx="0" w14:sy="0" w14:kx="0" w14:ky="0" w14:algn="none">
                        <w14:srgbClr w14:val="000000">
                          <w14:alpha w14:val="50000"/>
                        </w14:srgbClr>
                      </w14:shadow>
                    </w:rPr>
                    <w:t xml:space="preserve"> mesi (Periodo di detenzione raccomandato)</w:t>
                  </w:r>
                </w:p>
              </w:tc>
            </w:tr>
            <w:tr w:rsidR="00D234FB" w:rsidRPr="00521D0D" w14:paraId="290380B2" w14:textId="77777777" w:rsidTr="00746755">
              <w:trPr>
                <w:gridAfter w:val="1"/>
                <w:wAfter w:w="8" w:type="dxa"/>
              </w:trPr>
              <w:tc>
                <w:tcPr>
                  <w:cnfStyle w:val="001000000000" w:firstRow="0" w:lastRow="0" w:firstColumn="1" w:lastColumn="0" w:oddVBand="0" w:evenVBand="0" w:oddHBand="0" w:evenHBand="0" w:firstRowFirstColumn="0" w:firstRowLastColumn="0" w:lastRowFirstColumn="0" w:lastRowLastColumn="0"/>
                  <w:tcW w:w="2155" w:type="dxa"/>
                </w:tcPr>
                <w:p w14:paraId="522B9C2A" w14:textId="77777777" w:rsidR="00D234FB" w:rsidRPr="00521D0D" w:rsidRDefault="00D234FB" w:rsidP="00746755">
                  <w:pPr>
                    <w:tabs>
                      <w:tab w:val="left" w:pos="6400"/>
                    </w:tabs>
                    <w:jc w:val="both"/>
                    <w:rPr>
                      <w:rFonts w:asciiTheme="majorHAnsi" w:hAnsiTheme="majorHAnsi" w:cstheme="majorHAnsi"/>
                      <w:b w:val="0"/>
                      <w:color w:val="404040" w:themeColor="text1" w:themeTint="BF"/>
                      <w:sz w:val="20"/>
                      <w:szCs w:val="20"/>
                      <w14:shadow w14:blurRad="63500" w14:dist="50800" w14:dir="1140000" w14:sx="0" w14:sy="0" w14:kx="0" w14:ky="0" w14:algn="none">
                        <w14:srgbClr w14:val="000000">
                          <w14:alpha w14:val="50000"/>
                        </w14:srgbClr>
                      </w14:shadow>
                    </w:rPr>
                  </w:pPr>
                  <w:r w:rsidRPr="00521D0D">
                    <w:rPr>
                      <w:rFonts w:asciiTheme="majorHAnsi" w:eastAsia="Times New Roman" w:hAnsiTheme="majorHAnsi" w:cstheme="majorHAnsi"/>
                      <w:bCs w:val="0"/>
                      <w:color w:val="365F91" w:themeColor="accent1" w:themeShade="BF"/>
                      <w:kern w:val="20"/>
                      <w:sz w:val="20"/>
                      <w:szCs w:val="20"/>
                      <w:lang w:eastAsia="en-US"/>
                    </w:rPr>
                    <w:t>Scenario di stress</w:t>
                  </w:r>
                </w:p>
              </w:tc>
              <w:tc>
                <w:tcPr>
                  <w:tcW w:w="3828" w:type="dxa"/>
                </w:tcPr>
                <w:p w14:paraId="6E12E789" w14:textId="77777777" w:rsidR="00D234FB" w:rsidRPr="006C45B5" w:rsidRDefault="00D234FB" w:rsidP="00746755">
                  <w:pPr>
                    <w:tabs>
                      <w:tab w:val="left" w:pos="640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eastAsia="Times New Roman" w:hAnsiTheme="majorHAnsi" w:cstheme="majorHAnsi"/>
                      <w:b/>
                      <w:color w:val="365F91" w:themeColor="accent1" w:themeShade="BF"/>
                      <w:kern w:val="20"/>
                      <w:sz w:val="20"/>
                      <w:szCs w:val="20"/>
                      <w:lang w:eastAsia="en-US"/>
                    </w:rPr>
                    <w:t>Possibile rimborso al netto dei costi</w:t>
                  </w:r>
                </w:p>
              </w:tc>
              <w:tc>
                <w:tcPr>
                  <w:tcW w:w="3827" w:type="dxa"/>
                </w:tcPr>
                <w:p w14:paraId="6649670E" w14:textId="0551C867" w:rsidR="00D234FB" w:rsidRPr="006C45B5" w:rsidRDefault="00D234FB" w:rsidP="00746755">
                  <w:pPr>
                    <w:tabs>
                      <w:tab w:val="left" w:pos="640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eastAsia="Times New Roman" w:hAnsiTheme="majorHAnsi" w:cstheme="majorHAnsi"/>
                      <w:b/>
                      <w:color w:val="365F91" w:themeColor="accent1" w:themeShade="BF"/>
                      <w:kern w:val="20"/>
                      <w:sz w:val="20"/>
                      <w:szCs w:val="20"/>
                      <w:lang w:eastAsia="en-US"/>
                    </w:rPr>
                    <w:t>EUR -</w:t>
                  </w:r>
                  <w:r w:rsidR="00B32B66">
                    <w:rPr>
                      <w:rFonts w:asciiTheme="majorHAnsi" w:eastAsia="Times New Roman" w:hAnsiTheme="majorHAnsi" w:cstheme="majorHAnsi"/>
                      <w:b/>
                      <w:color w:val="365F91" w:themeColor="accent1" w:themeShade="BF"/>
                      <w:kern w:val="20"/>
                      <w:sz w:val="20"/>
                      <w:szCs w:val="20"/>
                      <w:lang w:eastAsia="en-US"/>
                    </w:rPr>
                    <w:t>7.883,58</w:t>
                  </w:r>
                </w:p>
              </w:tc>
            </w:tr>
            <w:tr w:rsidR="00D234FB" w:rsidRPr="00521D0D" w14:paraId="6684B366" w14:textId="77777777" w:rsidTr="00746755">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2155" w:type="dxa"/>
                </w:tcPr>
                <w:p w14:paraId="066CE2C4" w14:textId="77777777" w:rsidR="00D234FB" w:rsidRPr="00521D0D" w:rsidRDefault="00D234FB" w:rsidP="00746755">
                  <w:pPr>
                    <w:tabs>
                      <w:tab w:val="left" w:pos="6400"/>
                    </w:tabs>
                    <w:jc w:val="both"/>
                    <w:rPr>
                      <w:rFonts w:asciiTheme="majorHAnsi" w:hAnsiTheme="majorHAnsi" w:cstheme="majorHAnsi"/>
                      <w:b w:val="0"/>
                      <w:color w:val="404040" w:themeColor="text1" w:themeTint="BF"/>
                      <w:sz w:val="20"/>
                      <w:szCs w:val="20"/>
                      <w14:shadow w14:blurRad="63500" w14:dist="50800" w14:dir="1140000" w14:sx="0" w14:sy="0" w14:kx="0" w14:ky="0" w14:algn="none">
                        <w14:srgbClr w14:val="000000">
                          <w14:alpha w14:val="50000"/>
                        </w14:srgbClr>
                      </w14:shadow>
                    </w:rPr>
                  </w:pPr>
                </w:p>
              </w:tc>
              <w:tc>
                <w:tcPr>
                  <w:tcW w:w="3828" w:type="dxa"/>
                </w:tcPr>
                <w:p w14:paraId="1A44323A" w14:textId="77777777" w:rsidR="00D234FB" w:rsidRPr="006C45B5" w:rsidRDefault="00D234FB"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hAnsiTheme="majorHAnsi" w:cstheme="majorHAnsi"/>
                      <w:sz w:val="20"/>
                      <w:szCs w:val="20"/>
                    </w:rPr>
                    <w:t>Rendimento medio per ciascun anno</w:t>
                  </w:r>
                </w:p>
              </w:tc>
              <w:tc>
                <w:tcPr>
                  <w:tcW w:w="3827" w:type="dxa"/>
                </w:tcPr>
                <w:p w14:paraId="45479750" w14:textId="115142EB" w:rsidR="00D234FB" w:rsidRPr="006C45B5" w:rsidRDefault="00B32B66"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-78</w:t>
                  </w:r>
                  <w:r w:rsidR="00B011CF">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w:t>
                  </w:r>
                  <w: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84</w:t>
                  </w:r>
                  <w:r w:rsidR="00D234FB" w:rsidRPr="006C45B5">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w:t>
                  </w:r>
                </w:p>
              </w:tc>
            </w:tr>
            <w:tr w:rsidR="00D234FB" w:rsidRPr="00521D0D" w14:paraId="132E50AC" w14:textId="77777777" w:rsidTr="00746755">
              <w:trPr>
                <w:gridAfter w:val="1"/>
                <w:wAfter w:w="8" w:type="dxa"/>
              </w:trPr>
              <w:tc>
                <w:tcPr>
                  <w:cnfStyle w:val="001000000000" w:firstRow="0" w:lastRow="0" w:firstColumn="1" w:lastColumn="0" w:oddVBand="0" w:evenVBand="0" w:oddHBand="0" w:evenHBand="0" w:firstRowFirstColumn="0" w:firstRowLastColumn="0" w:lastRowFirstColumn="0" w:lastRowLastColumn="0"/>
                  <w:tcW w:w="2155" w:type="dxa"/>
                </w:tcPr>
                <w:p w14:paraId="0BE33A02" w14:textId="77777777" w:rsidR="00D234FB" w:rsidRPr="00521D0D" w:rsidRDefault="00D234FB" w:rsidP="00746755">
                  <w:pPr>
                    <w:tabs>
                      <w:tab w:val="left" w:pos="6400"/>
                    </w:tabs>
                    <w:jc w:val="both"/>
                    <w:rPr>
                      <w:rFonts w:asciiTheme="majorHAnsi" w:eastAsia="Times New Roman" w:hAnsiTheme="majorHAnsi" w:cstheme="majorHAnsi"/>
                      <w:bCs w:val="0"/>
                      <w:color w:val="365F91" w:themeColor="accent1" w:themeShade="BF"/>
                      <w:kern w:val="20"/>
                      <w:sz w:val="20"/>
                      <w:szCs w:val="20"/>
                      <w:lang w:eastAsia="en-US"/>
                    </w:rPr>
                  </w:pPr>
                  <w:r w:rsidRPr="00521D0D">
                    <w:rPr>
                      <w:rFonts w:asciiTheme="majorHAnsi" w:eastAsia="Times New Roman" w:hAnsiTheme="majorHAnsi" w:cstheme="majorHAnsi"/>
                      <w:bCs w:val="0"/>
                      <w:color w:val="365F91" w:themeColor="accent1" w:themeShade="BF"/>
                      <w:kern w:val="20"/>
                      <w:sz w:val="20"/>
                      <w:szCs w:val="20"/>
                      <w:lang w:eastAsia="en-US"/>
                    </w:rPr>
                    <w:t>Scenario sfavorevole</w:t>
                  </w:r>
                </w:p>
              </w:tc>
              <w:tc>
                <w:tcPr>
                  <w:tcW w:w="3828" w:type="dxa"/>
                </w:tcPr>
                <w:p w14:paraId="27350C0F" w14:textId="77777777" w:rsidR="00D234FB" w:rsidRPr="006C45B5" w:rsidRDefault="00D234FB" w:rsidP="00746755">
                  <w:pPr>
                    <w:tabs>
                      <w:tab w:val="left" w:pos="640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eastAsia="Times New Roman" w:hAnsiTheme="majorHAnsi" w:cstheme="majorHAnsi"/>
                      <w:b/>
                      <w:color w:val="365F91" w:themeColor="accent1" w:themeShade="BF"/>
                      <w:kern w:val="20"/>
                      <w:sz w:val="20"/>
                      <w:szCs w:val="20"/>
                      <w:lang w:eastAsia="en-US"/>
                    </w:rPr>
                    <w:t>Possibile rimborso al netto dei costi</w:t>
                  </w:r>
                </w:p>
              </w:tc>
              <w:tc>
                <w:tcPr>
                  <w:tcW w:w="3827" w:type="dxa"/>
                </w:tcPr>
                <w:p w14:paraId="391C712B" w14:textId="07D285DB" w:rsidR="00D234FB" w:rsidRPr="006C45B5" w:rsidRDefault="00D234FB" w:rsidP="00746755">
                  <w:pPr>
                    <w:tabs>
                      <w:tab w:val="left" w:pos="640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eastAsia="Times New Roman" w:hAnsiTheme="majorHAnsi" w:cstheme="majorHAnsi"/>
                      <w:b/>
                      <w:color w:val="365F91" w:themeColor="accent1" w:themeShade="BF"/>
                      <w:kern w:val="20"/>
                      <w:sz w:val="20"/>
                      <w:szCs w:val="20"/>
                      <w:lang w:eastAsia="en-US"/>
                    </w:rPr>
                    <w:t>EUR -</w:t>
                  </w:r>
                  <w:r w:rsidR="00B32B66">
                    <w:rPr>
                      <w:rFonts w:asciiTheme="majorHAnsi" w:eastAsia="Times New Roman" w:hAnsiTheme="majorHAnsi" w:cstheme="majorHAnsi"/>
                      <w:b/>
                      <w:color w:val="365F91" w:themeColor="accent1" w:themeShade="BF"/>
                      <w:kern w:val="20"/>
                      <w:sz w:val="20"/>
                      <w:szCs w:val="20"/>
                      <w:lang w:eastAsia="en-US"/>
                    </w:rPr>
                    <w:t>1.377</w:t>
                  </w:r>
                  <w:r w:rsidR="00B011CF">
                    <w:rPr>
                      <w:rFonts w:asciiTheme="majorHAnsi" w:eastAsia="Times New Roman" w:hAnsiTheme="majorHAnsi" w:cstheme="majorHAnsi"/>
                      <w:b/>
                      <w:color w:val="365F91" w:themeColor="accent1" w:themeShade="BF"/>
                      <w:kern w:val="20"/>
                      <w:sz w:val="20"/>
                      <w:szCs w:val="20"/>
                      <w:lang w:eastAsia="en-US"/>
                    </w:rPr>
                    <w:t>,</w:t>
                  </w:r>
                  <w:r w:rsidR="00B32B66">
                    <w:rPr>
                      <w:rFonts w:asciiTheme="majorHAnsi" w:eastAsia="Times New Roman" w:hAnsiTheme="majorHAnsi" w:cstheme="majorHAnsi"/>
                      <w:b/>
                      <w:color w:val="365F91" w:themeColor="accent1" w:themeShade="BF"/>
                      <w:kern w:val="20"/>
                      <w:sz w:val="20"/>
                      <w:szCs w:val="20"/>
                      <w:lang w:eastAsia="en-US"/>
                    </w:rPr>
                    <w:t>80</w:t>
                  </w:r>
                </w:p>
              </w:tc>
            </w:tr>
            <w:tr w:rsidR="00D234FB" w:rsidRPr="00521D0D" w14:paraId="172D6288" w14:textId="77777777" w:rsidTr="00746755">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2155" w:type="dxa"/>
                </w:tcPr>
                <w:p w14:paraId="72D985FC" w14:textId="77777777" w:rsidR="00D234FB" w:rsidRPr="00521D0D"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p>
              </w:tc>
              <w:tc>
                <w:tcPr>
                  <w:tcW w:w="3828" w:type="dxa"/>
                </w:tcPr>
                <w:p w14:paraId="1DF61AE5" w14:textId="77777777" w:rsidR="00D234FB" w:rsidRPr="006C45B5" w:rsidRDefault="00D234FB"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hAnsiTheme="majorHAnsi" w:cstheme="majorHAnsi"/>
                      <w:sz w:val="20"/>
                      <w:szCs w:val="20"/>
                    </w:rPr>
                    <w:t>Rendimento medio per ciascun anno</w:t>
                  </w:r>
                </w:p>
              </w:tc>
              <w:tc>
                <w:tcPr>
                  <w:tcW w:w="3827" w:type="dxa"/>
                </w:tcPr>
                <w:p w14:paraId="057290E5" w14:textId="5EC1CC58" w:rsidR="00D234FB" w:rsidRPr="006C45B5" w:rsidRDefault="00D234FB"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w:t>
                  </w:r>
                  <w:r w:rsidR="00B32B6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13</w:t>
                  </w:r>
                  <w:r w:rsidR="00B011CF">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w:t>
                  </w:r>
                  <w:r w:rsidR="00B32B6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78</w:t>
                  </w:r>
                  <w:r w:rsidRPr="006C45B5">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w:t>
                  </w:r>
                </w:p>
              </w:tc>
            </w:tr>
            <w:tr w:rsidR="00D234FB" w:rsidRPr="00521D0D" w14:paraId="0682DE92" w14:textId="77777777" w:rsidTr="00746755">
              <w:trPr>
                <w:gridAfter w:val="1"/>
                <w:wAfter w:w="8" w:type="dxa"/>
              </w:trPr>
              <w:tc>
                <w:tcPr>
                  <w:cnfStyle w:val="001000000000" w:firstRow="0" w:lastRow="0" w:firstColumn="1" w:lastColumn="0" w:oddVBand="0" w:evenVBand="0" w:oddHBand="0" w:evenHBand="0" w:firstRowFirstColumn="0" w:firstRowLastColumn="0" w:lastRowFirstColumn="0" w:lastRowLastColumn="0"/>
                  <w:tcW w:w="2155" w:type="dxa"/>
                </w:tcPr>
                <w:p w14:paraId="4329BDDE" w14:textId="77777777" w:rsidR="00D234FB" w:rsidRPr="00521D0D"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521D0D">
                    <w:rPr>
                      <w:rFonts w:asciiTheme="majorHAnsi" w:eastAsia="Times New Roman" w:hAnsiTheme="majorHAnsi" w:cstheme="majorHAnsi"/>
                      <w:bCs w:val="0"/>
                      <w:color w:val="365F91" w:themeColor="accent1" w:themeShade="BF"/>
                      <w:kern w:val="20"/>
                      <w:sz w:val="20"/>
                      <w:szCs w:val="20"/>
                      <w:lang w:eastAsia="en-US"/>
                    </w:rPr>
                    <w:t>Scenario moderato</w:t>
                  </w:r>
                </w:p>
              </w:tc>
              <w:tc>
                <w:tcPr>
                  <w:tcW w:w="3828" w:type="dxa"/>
                </w:tcPr>
                <w:p w14:paraId="3365CBE9" w14:textId="77777777" w:rsidR="00D234FB" w:rsidRPr="006C45B5" w:rsidRDefault="00D234FB" w:rsidP="00746755">
                  <w:pPr>
                    <w:tabs>
                      <w:tab w:val="left" w:pos="640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eastAsia="Times New Roman" w:hAnsiTheme="majorHAnsi" w:cstheme="majorHAnsi"/>
                      <w:b/>
                      <w:color w:val="365F91" w:themeColor="accent1" w:themeShade="BF"/>
                      <w:kern w:val="20"/>
                      <w:sz w:val="20"/>
                      <w:szCs w:val="20"/>
                      <w:lang w:eastAsia="en-US"/>
                    </w:rPr>
                    <w:t>Possibile rimborso al netto dei costi</w:t>
                  </w:r>
                </w:p>
              </w:tc>
              <w:tc>
                <w:tcPr>
                  <w:tcW w:w="3827" w:type="dxa"/>
                </w:tcPr>
                <w:p w14:paraId="634C7073" w14:textId="3B5F0FA1" w:rsidR="00D234FB" w:rsidRPr="006C45B5" w:rsidRDefault="00D234FB" w:rsidP="00746755">
                  <w:pPr>
                    <w:tabs>
                      <w:tab w:val="left" w:pos="640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eastAsia="Times New Roman" w:hAnsiTheme="majorHAnsi" w:cstheme="majorHAnsi"/>
                      <w:b/>
                      <w:color w:val="365F91" w:themeColor="accent1" w:themeShade="BF"/>
                      <w:kern w:val="20"/>
                      <w:sz w:val="20"/>
                      <w:szCs w:val="20"/>
                      <w:lang w:eastAsia="en-US"/>
                    </w:rPr>
                    <w:t xml:space="preserve">EUR </w:t>
                  </w:r>
                  <w:r w:rsidR="00B32B66">
                    <w:rPr>
                      <w:rFonts w:asciiTheme="majorHAnsi" w:eastAsia="Times New Roman" w:hAnsiTheme="majorHAnsi" w:cstheme="majorHAnsi"/>
                      <w:b/>
                      <w:color w:val="365F91" w:themeColor="accent1" w:themeShade="BF"/>
                      <w:kern w:val="20"/>
                      <w:sz w:val="20"/>
                      <w:szCs w:val="20"/>
                      <w:lang w:eastAsia="en-US"/>
                    </w:rPr>
                    <w:t>-6</w:t>
                  </w:r>
                  <w:r w:rsidR="00B011CF">
                    <w:rPr>
                      <w:rFonts w:asciiTheme="majorHAnsi" w:eastAsia="Times New Roman" w:hAnsiTheme="majorHAnsi" w:cstheme="majorHAnsi"/>
                      <w:b/>
                      <w:color w:val="365F91" w:themeColor="accent1" w:themeShade="BF"/>
                      <w:kern w:val="20"/>
                      <w:sz w:val="20"/>
                      <w:szCs w:val="20"/>
                      <w:lang w:eastAsia="en-US"/>
                    </w:rPr>
                    <w:t>0,</w:t>
                  </w:r>
                  <w:r w:rsidR="00B32B66">
                    <w:rPr>
                      <w:rFonts w:asciiTheme="majorHAnsi" w:eastAsia="Times New Roman" w:hAnsiTheme="majorHAnsi" w:cstheme="majorHAnsi"/>
                      <w:b/>
                      <w:color w:val="365F91" w:themeColor="accent1" w:themeShade="BF"/>
                      <w:kern w:val="20"/>
                      <w:sz w:val="20"/>
                      <w:szCs w:val="20"/>
                      <w:lang w:eastAsia="en-US"/>
                    </w:rPr>
                    <w:t>00</w:t>
                  </w:r>
                </w:p>
              </w:tc>
            </w:tr>
            <w:tr w:rsidR="00D234FB" w:rsidRPr="00521D0D" w14:paraId="00925CA5" w14:textId="77777777" w:rsidTr="00746755">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2155" w:type="dxa"/>
                </w:tcPr>
                <w:p w14:paraId="65A14501" w14:textId="77777777" w:rsidR="00D234FB" w:rsidRPr="00521D0D"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p>
              </w:tc>
              <w:tc>
                <w:tcPr>
                  <w:tcW w:w="3828" w:type="dxa"/>
                </w:tcPr>
                <w:p w14:paraId="76E11984" w14:textId="77777777" w:rsidR="00D234FB" w:rsidRPr="006C45B5" w:rsidRDefault="00D234FB"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hAnsiTheme="majorHAnsi" w:cstheme="majorHAnsi"/>
                      <w:sz w:val="20"/>
                      <w:szCs w:val="20"/>
                    </w:rPr>
                    <w:t>Rendimento medio per ciascun anno</w:t>
                  </w:r>
                </w:p>
              </w:tc>
              <w:tc>
                <w:tcPr>
                  <w:tcW w:w="3827" w:type="dxa"/>
                </w:tcPr>
                <w:p w14:paraId="349CDB35" w14:textId="7EBAF455" w:rsidR="00D234FB" w:rsidRPr="006C45B5" w:rsidRDefault="00B32B66"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-0</w:t>
                  </w:r>
                  <w:r w:rsidR="00B011CF">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w:t>
                  </w:r>
                  <w: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6</w:t>
                  </w:r>
                  <w:r w:rsidR="004577E4">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0</w:t>
                  </w:r>
                  <w:r w:rsidR="00D234FB" w:rsidRPr="006C45B5">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w:t>
                  </w:r>
                </w:p>
              </w:tc>
            </w:tr>
            <w:tr w:rsidR="00D234FB" w:rsidRPr="00521D0D" w14:paraId="6C255AFC" w14:textId="77777777" w:rsidTr="00746755">
              <w:trPr>
                <w:gridAfter w:val="1"/>
                <w:wAfter w:w="8" w:type="dxa"/>
              </w:trPr>
              <w:tc>
                <w:tcPr>
                  <w:cnfStyle w:val="001000000000" w:firstRow="0" w:lastRow="0" w:firstColumn="1" w:lastColumn="0" w:oddVBand="0" w:evenVBand="0" w:oddHBand="0" w:evenHBand="0" w:firstRowFirstColumn="0" w:firstRowLastColumn="0" w:lastRowFirstColumn="0" w:lastRowLastColumn="0"/>
                  <w:tcW w:w="2155" w:type="dxa"/>
                </w:tcPr>
                <w:p w14:paraId="09F8D7FF" w14:textId="77777777" w:rsidR="00D234FB" w:rsidRPr="00521D0D" w:rsidRDefault="00D234FB" w:rsidP="00746755">
                  <w:pPr>
                    <w:tabs>
                      <w:tab w:val="left" w:pos="6400"/>
                    </w:tabs>
                    <w:jc w:val="both"/>
                    <w:rPr>
                      <w:rFonts w:asciiTheme="majorHAnsi" w:eastAsia="Times New Roman" w:hAnsiTheme="majorHAnsi" w:cstheme="majorHAnsi"/>
                      <w:bCs w:val="0"/>
                      <w:color w:val="365F91" w:themeColor="accent1" w:themeShade="BF"/>
                      <w:kern w:val="20"/>
                      <w:sz w:val="20"/>
                      <w:szCs w:val="20"/>
                      <w:lang w:eastAsia="en-US"/>
                    </w:rPr>
                  </w:pPr>
                  <w:r w:rsidRPr="00521D0D">
                    <w:rPr>
                      <w:rFonts w:asciiTheme="majorHAnsi" w:eastAsia="Times New Roman" w:hAnsiTheme="majorHAnsi" w:cstheme="majorHAnsi"/>
                      <w:bCs w:val="0"/>
                      <w:color w:val="365F91" w:themeColor="accent1" w:themeShade="BF"/>
                      <w:kern w:val="20"/>
                      <w:sz w:val="20"/>
                      <w:szCs w:val="20"/>
                      <w:lang w:eastAsia="en-US"/>
                    </w:rPr>
                    <w:t xml:space="preserve">Scenario </w:t>
                  </w:r>
                  <w:r>
                    <w:rPr>
                      <w:rFonts w:asciiTheme="majorHAnsi" w:eastAsia="Times New Roman" w:hAnsiTheme="majorHAnsi" w:cstheme="majorHAnsi"/>
                      <w:bCs w:val="0"/>
                      <w:color w:val="365F91" w:themeColor="accent1" w:themeShade="BF"/>
                      <w:kern w:val="20"/>
                      <w:sz w:val="20"/>
                      <w:szCs w:val="20"/>
                      <w:lang w:eastAsia="en-US"/>
                    </w:rPr>
                    <w:t>favorevole</w:t>
                  </w:r>
                </w:p>
              </w:tc>
              <w:tc>
                <w:tcPr>
                  <w:tcW w:w="3828" w:type="dxa"/>
                </w:tcPr>
                <w:p w14:paraId="2A831201" w14:textId="77777777" w:rsidR="00D234FB" w:rsidRPr="006C45B5" w:rsidRDefault="00D234FB" w:rsidP="00746755">
                  <w:pPr>
                    <w:tabs>
                      <w:tab w:val="left" w:pos="640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eastAsia="Times New Roman" w:hAnsiTheme="majorHAnsi" w:cstheme="majorHAnsi"/>
                      <w:b/>
                      <w:color w:val="365F91" w:themeColor="accent1" w:themeShade="BF"/>
                      <w:kern w:val="20"/>
                      <w:sz w:val="20"/>
                      <w:szCs w:val="20"/>
                      <w:lang w:eastAsia="en-US"/>
                    </w:rPr>
                    <w:t>Possibile rimborso al netto dei costi</w:t>
                  </w:r>
                </w:p>
              </w:tc>
              <w:tc>
                <w:tcPr>
                  <w:tcW w:w="3827" w:type="dxa"/>
                </w:tcPr>
                <w:p w14:paraId="01567078" w14:textId="748F5A32" w:rsidR="00D234FB" w:rsidRPr="006C45B5" w:rsidRDefault="00D234FB" w:rsidP="00746755">
                  <w:pPr>
                    <w:tabs>
                      <w:tab w:val="left" w:pos="640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eastAsia="Times New Roman" w:hAnsiTheme="majorHAnsi" w:cstheme="majorHAnsi"/>
                      <w:b/>
                      <w:color w:val="365F91" w:themeColor="accent1" w:themeShade="BF"/>
                      <w:kern w:val="20"/>
                      <w:sz w:val="20"/>
                      <w:szCs w:val="20"/>
                      <w:lang w:eastAsia="en-US"/>
                    </w:rPr>
                    <w:t xml:space="preserve">EUR </w:t>
                  </w:r>
                  <w:r w:rsidR="00B32B66">
                    <w:rPr>
                      <w:rFonts w:asciiTheme="majorHAnsi" w:eastAsia="Times New Roman" w:hAnsiTheme="majorHAnsi" w:cstheme="majorHAnsi"/>
                      <w:b/>
                      <w:color w:val="365F91" w:themeColor="accent1" w:themeShade="BF"/>
                      <w:kern w:val="20"/>
                      <w:sz w:val="20"/>
                      <w:szCs w:val="20"/>
                      <w:lang w:eastAsia="en-US"/>
                    </w:rPr>
                    <w:t>1.082</w:t>
                  </w:r>
                  <w:r w:rsidR="00B011CF">
                    <w:rPr>
                      <w:rFonts w:asciiTheme="majorHAnsi" w:eastAsia="Times New Roman" w:hAnsiTheme="majorHAnsi" w:cstheme="majorHAnsi"/>
                      <w:b/>
                      <w:color w:val="365F91" w:themeColor="accent1" w:themeShade="BF"/>
                      <w:kern w:val="20"/>
                      <w:sz w:val="20"/>
                      <w:szCs w:val="20"/>
                      <w:lang w:eastAsia="en-US"/>
                    </w:rPr>
                    <w:t>,</w:t>
                  </w:r>
                  <w:r w:rsidR="00B32B66">
                    <w:rPr>
                      <w:rFonts w:asciiTheme="majorHAnsi" w:eastAsia="Times New Roman" w:hAnsiTheme="majorHAnsi" w:cstheme="majorHAnsi"/>
                      <w:b/>
                      <w:color w:val="365F91" w:themeColor="accent1" w:themeShade="BF"/>
                      <w:kern w:val="20"/>
                      <w:sz w:val="20"/>
                      <w:szCs w:val="20"/>
                      <w:lang w:eastAsia="en-US"/>
                    </w:rPr>
                    <w:t>86</w:t>
                  </w:r>
                </w:p>
              </w:tc>
            </w:tr>
            <w:tr w:rsidR="00D234FB" w:rsidRPr="00521D0D" w14:paraId="339B18C3" w14:textId="77777777" w:rsidTr="00746755">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2155" w:type="dxa"/>
                </w:tcPr>
                <w:p w14:paraId="70205E42" w14:textId="77777777" w:rsidR="00D234FB" w:rsidRPr="00521D0D"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p>
              </w:tc>
              <w:tc>
                <w:tcPr>
                  <w:tcW w:w="3828" w:type="dxa"/>
                </w:tcPr>
                <w:p w14:paraId="24CCFC8B" w14:textId="77777777" w:rsidR="00D234FB" w:rsidRPr="006C45B5" w:rsidRDefault="00D234FB"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hAnsiTheme="majorHAnsi" w:cstheme="majorHAnsi"/>
                      <w:sz w:val="20"/>
                      <w:szCs w:val="20"/>
                    </w:rPr>
                    <w:t>Rendimento medio per ciascun anno</w:t>
                  </w:r>
                </w:p>
              </w:tc>
              <w:tc>
                <w:tcPr>
                  <w:tcW w:w="3827" w:type="dxa"/>
                </w:tcPr>
                <w:p w14:paraId="67012FFE" w14:textId="74DA3790" w:rsidR="00D234FB" w:rsidRPr="006C45B5" w:rsidRDefault="00D234FB"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1</w:t>
                  </w:r>
                  <w:r w:rsidR="00B32B6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0</w:t>
                  </w:r>
                  <w:r w:rsidR="00B011CF">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w:t>
                  </w:r>
                  <w:r w:rsidR="00B32B6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83</w:t>
                  </w:r>
                  <w:r w:rsidRPr="006C45B5">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w:t>
                  </w:r>
                </w:p>
              </w:tc>
            </w:tr>
          </w:tbl>
          <w:p w14:paraId="6011C37C" w14:textId="2CF6FF87" w:rsidR="00D234FB" w:rsidRPr="003F742A"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sz w:val="20"/>
                <w:szCs w:val="20"/>
              </w:rPr>
              <w:t xml:space="preserve">Questa tabella mostra diversi possibili scenari di performance del prodotto alla sua </w:t>
            </w:r>
            <w:r w:rsidR="00B96895">
              <w:rPr>
                <w:rFonts w:asciiTheme="majorHAnsi" w:hAnsiTheme="majorHAnsi" w:cstheme="majorHAnsi"/>
                <w:sz w:val="20"/>
                <w:szCs w:val="20"/>
              </w:rPr>
              <w:t>d</w:t>
            </w:r>
            <w:r w:rsidRPr="00025A40">
              <w:rPr>
                <w:rFonts w:asciiTheme="majorHAnsi" w:hAnsiTheme="majorHAnsi" w:cstheme="majorHAnsi"/>
                <w:sz w:val="20"/>
                <w:szCs w:val="20"/>
              </w:rPr>
              <w:t xml:space="preserve">ata di </w:t>
            </w:r>
            <w:r w:rsidR="00B96895">
              <w:rPr>
                <w:rFonts w:asciiTheme="majorHAnsi" w:hAnsiTheme="majorHAnsi" w:cstheme="majorHAnsi"/>
                <w:sz w:val="20"/>
                <w:szCs w:val="20"/>
              </w:rPr>
              <w:t>s</w:t>
            </w:r>
            <w:r w:rsidRPr="00025A40">
              <w:rPr>
                <w:rFonts w:asciiTheme="majorHAnsi" w:hAnsiTheme="majorHAnsi" w:cstheme="majorHAnsi"/>
                <w:sz w:val="20"/>
                <w:szCs w:val="20"/>
              </w:rPr>
              <w:t>cadenza</w:t>
            </w:r>
            <w:r w:rsidR="00C477F6" w:rsidRPr="00025A40">
              <w:rPr>
                <w:rFonts w:asciiTheme="majorHAnsi" w:hAnsiTheme="majorHAnsi" w:cstheme="majorHAnsi"/>
                <w:sz w:val="20"/>
                <w:szCs w:val="20"/>
              </w:rPr>
              <w:t xml:space="preserve"> contrattuale</w:t>
            </w:r>
            <w:r w:rsidRPr="003F742A">
              <w:rPr>
                <w:rFonts w:asciiTheme="majorHAnsi" w:hAnsiTheme="majorHAnsi" w:cstheme="majorHAnsi"/>
                <w:sz w:val="20"/>
                <w:szCs w:val="20"/>
              </w:rPr>
              <w:t xml:space="preserve">, in scenari diversi, ipotizzando un importo nozionale di Euro 10.000. Gli scenari presentati possono essere confrontati con gli scenari di altri prodotti e sono una stima della performance futura sulla base di prove relative alle variazioni storiche e non sono un indicatore esatto. Gli importi dei rimborsi varieranno a seconda della performance e dell’attività di riferimento del sottostante e del periodo di tempo per cui è mantenuto il prodotto. Lo scenario di stress indica quale potrebbe essere </w:t>
            </w:r>
            <w:r w:rsidRPr="006C45B5">
              <w:rPr>
                <w:rFonts w:asciiTheme="majorHAnsi" w:hAnsiTheme="majorHAnsi" w:cstheme="majorHAnsi"/>
                <w:sz w:val="20"/>
                <w:szCs w:val="20"/>
              </w:rPr>
              <w:t>l'importo valorizzato in</w:t>
            </w:r>
            <w:r w:rsidRPr="003F742A">
              <w:rPr>
                <w:rFonts w:asciiTheme="majorHAnsi" w:hAnsiTheme="majorHAnsi" w:cstheme="majorHAnsi"/>
                <w:sz w:val="20"/>
                <w:szCs w:val="20"/>
              </w:rPr>
              <w:t xml:space="preserve"> circostanze di mercato estreme </w:t>
            </w:r>
            <w:r w:rsidRPr="00C135D5">
              <w:rPr>
                <w:rFonts w:asciiTheme="majorHAnsi" w:hAnsiTheme="majorHAnsi" w:cstheme="majorHAnsi"/>
                <w:sz w:val="20"/>
                <w:szCs w:val="20"/>
              </w:rPr>
              <w:t xml:space="preserve">e non tiene conto delle ipotesi di cui alla sezione successiva. </w:t>
            </w:r>
            <w:r w:rsidRPr="003F742A">
              <w:rPr>
                <w:rFonts w:asciiTheme="majorHAnsi" w:hAnsiTheme="majorHAnsi" w:cstheme="majorHAnsi"/>
                <w:sz w:val="20"/>
                <w:szCs w:val="20"/>
              </w:rPr>
              <w:t>L’estinzione anticipata potrebbe non essere possibile o essere effettuata a condizioni significativamente penalizzanti. Le cifre riportate comprendono tutti i costi del prodotto in quanto tale. Le cifre non tengono conto della vostra situazione fiscale personale, che può incidere anch'essa sull'importo del rimborso.</w:t>
            </w:r>
          </w:p>
        </w:tc>
      </w:tr>
      <w:tr w:rsidR="00D234FB" w:rsidRPr="003F742A" w14:paraId="15AA0D89" w14:textId="77777777" w:rsidTr="00746755">
        <w:tc>
          <w:tcPr>
            <w:tcW w:w="10188" w:type="dxa"/>
            <w:shd w:val="clear" w:color="auto" w:fill="D9D9D9" w:themeFill="background1" w:themeFillShade="D9"/>
          </w:tcPr>
          <w:p w14:paraId="29D96FFD" w14:textId="77777777" w:rsidR="00D234FB" w:rsidRPr="003F742A" w:rsidRDefault="00D234FB" w:rsidP="00746755">
            <w:pPr>
              <w:tabs>
                <w:tab w:val="left" w:pos="6400"/>
              </w:tabs>
              <w:jc w:val="cente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eastAsia="Times New Roman" w:hAnsiTheme="majorHAnsi" w:cstheme="majorHAnsi"/>
                <w:b/>
                <w:color w:val="365F91" w:themeColor="accent1" w:themeShade="BF"/>
                <w:kern w:val="20"/>
                <w:sz w:val="20"/>
                <w:szCs w:val="20"/>
                <w:lang w:eastAsia="en-US"/>
              </w:rPr>
              <w:lastRenderedPageBreak/>
              <w:t>COSA ACCADE SE BANCA IFIS NON È IN GRADO DI CORRISPONDERE QUANTO DOVUTO?</w:t>
            </w:r>
          </w:p>
        </w:tc>
      </w:tr>
      <w:tr w:rsidR="00D234FB" w:rsidRPr="003F742A" w14:paraId="28974913" w14:textId="77777777" w:rsidTr="00746755">
        <w:tc>
          <w:tcPr>
            <w:tcW w:w="10188" w:type="dxa"/>
            <w:shd w:val="clear" w:color="auto" w:fill="auto"/>
          </w:tcPr>
          <w:p w14:paraId="37D60554" w14:textId="77777777" w:rsidR="00D234FB" w:rsidRPr="003F742A"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521D0D">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In caso di risoluzione della Banca, nell’ipotesi di salvataggio della Banca stessa attraverso risorse interne, c.d. “</w:t>
            </w:r>
            <w:proofErr w:type="spellStart"/>
            <w:r w:rsidRPr="00521D0D">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bail</w:t>
            </w:r>
            <w:proofErr w:type="spellEnd"/>
            <w:r w:rsidRPr="00521D0D">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 – in”, si specifica che ai sensi dell’art. 54 del Decreto </w:t>
            </w:r>
            <w:proofErr w:type="spellStart"/>
            <w:r w:rsidRPr="00521D0D">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lgs</w:t>
            </w:r>
            <w:proofErr w:type="spellEnd"/>
            <w:r w:rsidRPr="00521D0D">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 180/2015, una passività risultante da un derivato è soggetta a tale strumento di risoluzione solo al momento dell’interruzione dei rapporti e pagamento del saldo netto </w:t>
            </w:r>
            <w:r w:rsidRPr="00521D0D">
              <w:rPr>
                <w:rFonts w:asciiTheme="majorHAnsi" w:hAnsiTheme="majorHAnsi" w:cstheme="majorHAnsi"/>
                <w:i/>
                <w:color w:val="404040" w:themeColor="text1" w:themeTint="BF"/>
                <w:sz w:val="20"/>
                <w:szCs w:val="20"/>
                <w14:shadow w14:blurRad="63500" w14:dist="50800" w14:dir="1140000" w14:sx="0" w14:sy="0" w14:kx="0" w14:ky="0" w14:algn="none">
                  <w14:srgbClr w14:val="000000">
                    <w14:alpha w14:val="50000"/>
                  </w14:srgbClr>
                </w14:shadow>
              </w:rPr>
              <w:t>(</w:t>
            </w:r>
            <w:proofErr w:type="spellStart"/>
            <w:r w:rsidRPr="00521D0D">
              <w:rPr>
                <w:rFonts w:asciiTheme="majorHAnsi" w:hAnsiTheme="majorHAnsi" w:cstheme="majorHAnsi"/>
                <w:i/>
                <w:color w:val="404040" w:themeColor="text1" w:themeTint="BF"/>
                <w:sz w:val="20"/>
                <w:szCs w:val="20"/>
                <w14:shadow w14:blurRad="63500" w14:dist="50800" w14:dir="1140000" w14:sx="0" w14:sy="0" w14:kx="0" w14:ky="0" w14:algn="none">
                  <w14:srgbClr w14:val="000000">
                    <w14:alpha w14:val="50000"/>
                  </w14:srgbClr>
                </w14:shadow>
              </w:rPr>
              <w:t>close</w:t>
            </w:r>
            <w:proofErr w:type="spellEnd"/>
            <w:r w:rsidRPr="00521D0D">
              <w:rPr>
                <w:rFonts w:asciiTheme="majorHAnsi" w:hAnsiTheme="majorHAnsi" w:cstheme="majorHAnsi"/>
                <w:i/>
                <w:color w:val="404040" w:themeColor="text1" w:themeTint="BF"/>
                <w:sz w:val="20"/>
                <w:szCs w:val="20"/>
                <w14:shadow w14:blurRad="63500" w14:dist="50800" w14:dir="1140000" w14:sx="0" w14:sy="0" w14:kx="0" w14:ky="0" w14:algn="none">
                  <w14:srgbClr w14:val="000000">
                    <w14:alpha w14:val="50000"/>
                  </w14:srgbClr>
                </w14:shadow>
              </w:rPr>
              <w:t xml:space="preserve"> out)</w:t>
            </w:r>
            <w:r w:rsidRPr="00521D0D">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 del derivato o successivamente ad esso. A tal fine, salva l'applicazione dell'articolo 49, comma 2, la Banca d'Italia dispone che qualsiasi contratto derivato da cui risulti una passività oggetto di </w:t>
            </w:r>
            <w:proofErr w:type="spellStart"/>
            <w:r w:rsidRPr="00521D0D">
              <w:rPr>
                <w:rFonts w:asciiTheme="majorHAnsi" w:hAnsiTheme="majorHAnsi" w:cstheme="majorHAnsi"/>
                <w:i/>
                <w:color w:val="404040" w:themeColor="text1" w:themeTint="BF"/>
                <w:sz w:val="20"/>
                <w:szCs w:val="20"/>
                <w14:shadow w14:blurRad="63500" w14:dist="50800" w14:dir="1140000" w14:sx="0" w14:sy="0" w14:kx="0" w14:ky="0" w14:algn="none">
                  <w14:srgbClr w14:val="000000">
                    <w14:alpha w14:val="50000"/>
                  </w14:srgbClr>
                </w14:shadow>
              </w:rPr>
              <w:t>bail</w:t>
            </w:r>
            <w:proofErr w:type="spellEnd"/>
            <w:r w:rsidRPr="00521D0D">
              <w:rPr>
                <w:rFonts w:asciiTheme="majorHAnsi" w:hAnsiTheme="majorHAnsi" w:cstheme="majorHAnsi"/>
                <w:i/>
                <w:color w:val="404040" w:themeColor="text1" w:themeTint="BF"/>
                <w:sz w:val="20"/>
                <w:szCs w:val="20"/>
                <w14:shadow w14:blurRad="63500" w14:dist="50800" w14:dir="1140000" w14:sx="0" w14:sy="0" w14:kx="0" w14:ky="0" w14:algn="none">
                  <w14:srgbClr w14:val="000000">
                    <w14:alpha w14:val="50000"/>
                  </w14:srgbClr>
                </w14:shadow>
              </w:rPr>
              <w:t xml:space="preserve"> - in</w:t>
            </w:r>
            <w:r w:rsidRPr="00521D0D">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 sia sciolto e liquidato per </w:t>
            </w:r>
            <w:proofErr w:type="spellStart"/>
            <w:r w:rsidRPr="00521D0D">
              <w:rPr>
                <w:rFonts w:asciiTheme="majorHAnsi" w:hAnsiTheme="majorHAnsi" w:cstheme="majorHAnsi"/>
                <w:i/>
                <w:color w:val="404040" w:themeColor="text1" w:themeTint="BF"/>
                <w:sz w:val="20"/>
                <w:szCs w:val="20"/>
                <w14:shadow w14:blurRad="63500" w14:dist="50800" w14:dir="1140000" w14:sx="0" w14:sy="0" w14:kx="0" w14:ky="0" w14:algn="none">
                  <w14:srgbClr w14:val="000000">
                    <w14:alpha w14:val="50000"/>
                  </w14:srgbClr>
                </w14:shadow>
              </w:rPr>
              <w:t>close</w:t>
            </w:r>
            <w:proofErr w:type="spellEnd"/>
            <w:r w:rsidRPr="00521D0D">
              <w:rPr>
                <w:rFonts w:asciiTheme="majorHAnsi" w:hAnsiTheme="majorHAnsi" w:cstheme="majorHAnsi"/>
                <w:i/>
                <w:color w:val="404040" w:themeColor="text1" w:themeTint="BF"/>
                <w:sz w:val="20"/>
                <w:szCs w:val="20"/>
                <w14:shadow w14:blurRad="63500" w14:dist="50800" w14:dir="1140000" w14:sx="0" w14:sy="0" w14:kx="0" w14:ky="0" w14:algn="none">
                  <w14:srgbClr w14:val="000000">
                    <w14:alpha w14:val="50000"/>
                  </w14:srgbClr>
                </w14:shadow>
              </w:rPr>
              <w:t xml:space="preserve"> out</w:t>
            </w:r>
            <w:r w:rsidRPr="00521D0D">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 ai sensi dell'articolo 60, comma 1, lettera l) del sopracitato decreto.</w:t>
            </w:r>
            <w: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 </w:t>
            </w:r>
            <w:r w:rsidRPr="00521D0D">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Si precisa, inoltre, che Banca IFIS ha aderito al Fondo Nazionale di Garanzia con decorrenza 6 giugno 2017. Il Fondo indennizza gli investitori, entro il limite di importo di euro 20.000, per i crediti derivanti dalla mancata restituzione integrale o parziale del denaro e/o degli strumenti finanziari o del loro controvalore, vantati - per la prestazione dei servizi e attività di investimento - nei confronti della Banca, nel caso di liquidazione coatta amministrativa. L’indennizzo del Fondo si commisura, per ciascun investitore, all’importo complessivo dei crediti ammessi allo stato passivo, diminuito dell’importo degli eventuali riparti parziali effettuati dagli organi della procedura concorsuale.</w:t>
            </w:r>
          </w:p>
        </w:tc>
      </w:tr>
    </w:tbl>
    <w:p w14:paraId="264B2AE6" w14:textId="77777777" w:rsidR="00943250" w:rsidRDefault="00943250">
      <w:r>
        <w:br w:type="page"/>
      </w:r>
    </w:p>
    <w:tbl>
      <w:tblPr>
        <w:tblStyle w:val="Grigliatabella"/>
        <w:tblW w:w="0" w:type="auto"/>
        <w:tblLook w:val="04A0" w:firstRow="1" w:lastRow="0" w:firstColumn="1" w:lastColumn="0" w:noHBand="0" w:noVBand="1"/>
      </w:tblPr>
      <w:tblGrid>
        <w:gridCol w:w="10188"/>
      </w:tblGrid>
      <w:tr w:rsidR="00D234FB" w:rsidRPr="003F742A" w14:paraId="4810A710" w14:textId="77777777" w:rsidTr="00746755">
        <w:tc>
          <w:tcPr>
            <w:tcW w:w="10188" w:type="dxa"/>
            <w:shd w:val="clear" w:color="auto" w:fill="D9D9D9" w:themeFill="background1" w:themeFillShade="D9"/>
          </w:tcPr>
          <w:p w14:paraId="4EDB2469" w14:textId="4600C325" w:rsidR="00D234FB" w:rsidRPr="003F742A" w:rsidRDefault="00D234FB" w:rsidP="00746755">
            <w:pPr>
              <w:tabs>
                <w:tab w:val="left" w:pos="6400"/>
              </w:tabs>
              <w:jc w:val="cente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eastAsia="Times New Roman" w:hAnsiTheme="majorHAnsi" w:cstheme="majorHAnsi"/>
                <w:b/>
                <w:color w:val="365F91" w:themeColor="accent1" w:themeShade="BF"/>
                <w:kern w:val="20"/>
                <w:sz w:val="20"/>
                <w:szCs w:val="20"/>
                <w:lang w:eastAsia="en-US"/>
              </w:rPr>
              <w:lastRenderedPageBreak/>
              <w:t>QUALI SONO I COSTI?</w:t>
            </w:r>
          </w:p>
        </w:tc>
      </w:tr>
      <w:tr w:rsidR="00D234FB" w:rsidRPr="003F742A" w14:paraId="5A2C428C" w14:textId="77777777" w:rsidTr="00746755">
        <w:tc>
          <w:tcPr>
            <w:tcW w:w="10188" w:type="dxa"/>
            <w:tcBorders>
              <w:bottom w:val="nil"/>
            </w:tcBorders>
            <w:shd w:val="clear" w:color="auto" w:fill="auto"/>
          </w:tcPr>
          <w:p w14:paraId="41E5DF43" w14:textId="77777777" w:rsidR="00D234FB" w:rsidRPr="003F742A"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sz w:val="20"/>
                <w:szCs w:val="20"/>
              </w:rPr>
              <w:t>La diminuzione del rendimento (</w:t>
            </w:r>
            <w:proofErr w:type="spellStart"/>
            <w:r w:rsidRPr="003F742A">
              <w:rPr>
                <w:rFonts w:asciiTheme="majorHAnsi" w:hAnsiTheme="majorHAnsi" w:cstheme="majorHAnsi"/>
                <w:sz w:val="20"/>
                <w:szCs w:val="20"/>
              </w:rPr>
              <w:t>Reduction</w:t>
            </w:r>
            <w:proofErr w:type="spellEnd"/>
            <w:r w:rsidRPr="003F742A">
              <w:rPr>
                <w:rFonts w:asciiTheme="majorHAnsi" w:hAnsiTheme="majorHAnsi" w:cstheme="majorHAnsi"/>
                <w:sz w:val="20"/>
                <w:szCs w:val="20"/>
              </w:rPr>
              <w:t xml:space="preserve"> in </w:t>
            </w:r>
            <w:proofErr w:type="spellStart"/>
            <w:r w:rsidRPr="003F742A">
              <w:rPr>
                <w:rFonts w:asciiTheme="majorHAnsi" w:hAnsiTheme="majorHAnsi" w:cstheme="majorHAnsi"/>
                <w:sz w:val="20"/>
                <w:szCs w:val="20"/>
              </w:rPr>
              <w:t>Yield</w:t>
            </w:r>
            <w:proofErr w:type="spellEnd"/>
            <w:r w:rsidRPr="003F742A">
              <w:rPr>
                <w:rFonts w:asciiTheme="majorHAnsi" w:hAnsiTheme="majorHAnsi" w:cstheme="majorHAnsi"/>
                <w:sz w:val="20"/>
                <w:szCs w:val="20"/>
              </w:rPr>
              <w:t xml:space="preserve"> — RIY) esprime l'impatto dei costi totali sostenuti sul possibile rendimento dell'investimento. I costi totali tengono conto dei costi una tantum, ricorrenti e accessori. Gli importi qui riportati corrispondono ai costi cumulativi del prodotto e</w:t>
            </w:r>
            <w:r w:rsidR="00352CDB">
              <w:rPr>
                <w:rFonts w:asciiTheme="majorHAnsi" w:hAnsiTheme="majorHAnsi" w:cstheme="majorHAnsi"/>
                <w:sz w:val="20"/>
                <w:szCs w:val="20"/>
              </w:rPr>
              <w:t xml:space="preserve"> non</w:t>
            </w:r>
            <w:r w:rsidRPr="003F742A">
              <w:rPr>
                <w:rFonts w:asciiTheme="majorHAnsi" w:hAnsiTheme="majorHAnsi" w:cstheme="majorHAnsi"/>
                <w:sz w:val="20"/>
                <w:szCs w:val="20"/>
              </w:rPr>
              <w:t xml:space="preserve"> comprendono </w:t>
            </w:r>
            <w:r w:rsidR="00093ADD">
              <w:rPr>
                <w:rFonts w:asciiTheme="majorHAnsi" w:hAnsiTheme="majorHAnsi" w:cstheme="majorHAnsi"/>
                <w:sz w:val="20"/>
                <w:szCs w:val="20"/>
              </w:rPr>
              <w:t>i costi che la B</w:t>
            </w:r>
            <w:r w:rsidR="00C477F6">
              <w:rPr>
                <w:rFonts w:asciiTheme="majorHAnsi" w:hAnsiTheme="majorHAnsi" w:cstheme="majorHAnsi"/>
                <w:sz w:val="20"/>
                <w:szCs w:val="20"/>
              </w:rPr>
              <w:t xml:space="preserve">anca potrebbe applicare </w:t>
            </w:r>
            <w:r w:rsidRPr="003F742A">
              <w:rPr>
                <w:rFonts w:asciiTheme="majorHAnsi" w:hAnsiTheme="majorHAnsi" w:cstheme="majorHAnsi"/>
                <w:sz w:val="20"/>
                <w:szCs w:val="20"/>
              </w:rPr>
              <w:t xml:space="preserve">per </w:t>
            </w:r>
            <w:r w:rsidR="00C477F6">
              <w:rPr>
                <w:rFonts w:asciiTheme="majorHAnsi" w:hAnsiTheme="majorHAnsi" w:cstheme="majorHAnsi"/>
                <w:sz w:val="20"/>
                <w:szCs w:val="20"/>
              </w:rPr>
              <w:t>l’</w:t>
            </w:r>
            <w:r w:rsidRPr="003F742A">
              <w:rPr>
                <w:rFonts w:asciiTheme="majorHAnsi" w:hAnsiTheme="majorHAnsi" w:cstheme="majorHAnsi"/>
                <w:sz w:val="20"/>
                <w:szCs w:val="20"/>
              </w:rPr>
              <w:t>uscita anticipata. Questi importi si basano sull'ipotesi che l’importo nozionale</w:t>
            </w:r>
            <w:r w:rsidRPr="003F742A">
              <w:rPr>
                <w:rStyle w:val="Rimandonotaapidipagina"/>
                <w:rFonts w:asciiTheme="majorHAnsi" w:hAnsiTheme="majorHAnsi" w:cstheme="majorHAnsi"/>
                <w:sz w:val="20"/>
                <w:szCs w:val="20"/>
              </w:rPr>
              <w:footnoteReference w:id="2"/>
            </w:r>
            <w:r w:rsidRPr="003F742A">
              <w:rPr>
                <w:rFonts w:asciiTheme="majorHAnsi" w:hAnsiTheme="majorHAnsi" w:cstheme="majorHAnsi"/>
                <w:sz w:val="20"/>
                <w:szCs w:val="20"/>
              </w:rPr>
              <w:t xml:space="preserve"> sia Euro 10.000. Gli importi sono stimati e potrebbero cambiare in futuro.</w:t>
            </w:r>
          </w:p>
          <w:p w14:paraId="2D61359E" w14:textId="7A470694" w:rsidR="00D234FB" w:rsidRPr="003F742A" w:rsidRDefault="00D234FB" w:rsidP="00746755">
            <w:pPr>
              <w:tabs>
                <w:tab w:val="left" w:pos="6400"/>
              </w:tabs>
              <w:jc w:val="both"/>
              <w:rPr>
                <w:rFonts w:asciiTheme="majorHAnsi" w:eastAsia="Times New Roman" w:hAnsiTheme="majorHAnsi" w:cstheme="majorHAnsi"/>
                <w:b/>
                <w:color w:val="365F91" w:themeColor="accent1" w:themeShade="BF"/>
                <w:kern w:val="20"/>
                <w:sz w:val="20"/>
                <w:szCs w:val="20"/>
                <w:lang w:eastAsia="en-US"/>
              </w:rPr>
            </w:pPr>
            <w:r w:rsidRPr="003F742A">
              <w:rPr>
                <w:rFonts w:asciiTheme="majorHAnsi" w:eastAsia="Times New Roman" w:hAnsiTheme="majorHAnsi" w:cstheme="majorHAnsi"/>
                <w:b/>
                <w:color w:val="365F91" w:themeColor="accent1" w:themeShade="BF"/>
                <w:kern w:val="20"/>
                <w:sz w:val="20"/>
                <w:szCs w:val="20"/>
                <w:lang w:eastAsia="en-US"/>
              </w:rPr>
              <w:t>Andamento dei costi nel tempo</w:t>
            </w:r>
          </w:p>
          <w:tbl>
            <w:tblPr>
              <w:tblStyle w:val="Tabellagriglia2-colore11"/>
              <w:tblW w:w="9952" w:type="dxa"/>
              <w:tblLook w:val="04A0" w:firstRow="1" w:lastRow="0" w:firstColumn="1" w:lastColumn="0" w:noHBand="0" w:noVBand="1"/>
            </w:tblPr>
            <w:tblGrid>
              <w:gridCol w:w="5132"/>
              <w:gridCol w:w="4820"/>
            </w:tblGrid>
            <w:tr w:rsidR="00D234FB" w:rsidRPr="00521D0D" w14:paraId="4F5231F3" w14:textId="77777777" w:rsidTr="00746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2" w:type="dxa"/>
                  <w:gridSpan w:val="2"/>
                </w:tcPr>
                <w:p w14:paraId="0552AA0C" w14:textId="77777777" w:rsidR="00D234FB" w:rsidRPr="00521D0D"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521D0D">
                    <w:rPr>
                      <w:rFonts w:asciiTheme="majorHAnsi" w:hAnsiTheme="majorHAnsi" w:cstheme="majorHAnsi"/>
                      <w:sz w:val="20"/>
                      <w:szCs w:val="20"/>
                    </w:rPr>
                    <w:t>CAPITALE DI RIFERIMENTO EUR 10.000</w:t>
                  </w:r>
                </w:p>
              </w:tc>
            </w:tr>
            <w:tr w:rsidR="00D234FB" w:rsidRPr="00521D0D" w14:paraId="366749CB" w14:textId="77777777" w:rsidTr="00746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2" w:type="dxa"/>
                </w:tcPr>
                <w:p w14:paraId="1F531BD5" w14:textId="77777777" w:rsidR="00D234FB" w:rsidRPr="00521D0D" w:rsidRDefault="00D234FB" w:rsidP="00746755">
                  <w:pPr>
                    <w:tabs>
                      <w:tab w:val="left" w:pos="6400"/>
                    </w:tabs>
                    <w:jc w:val="both"/>
                    <w:rPr>
                      <w:rFonts w:asciiTheme="majorHAnsi" w:hAnsiTheme="majorHAnsi" w:cstheme="majorHAnsi"/>
                      <w:b w:val="0"/>
                      <w:color w:val="404040" w:themeColor="text1" w:themeTint="BF"/>
                      <w:sz w:val="20"/>
                      <w:szCs w:val="20"/>
                      <w14:shadow w14:blurRad="63500" w14:dist="50800" w14:dir="1140000" w14:sx="0" w14:sy="0" w14:kx="0" w14:ky="0" w14:algn="none">
                        <w14:srgbClr w14:val="000000">
                          <w14:alpha w14:val="50000"/>
                        </w14:srgbClr>
                      </w14:shadow>
                    </w:rPr>
                  </w:pPr>
                  <w:r w:rsidRPr="00521D0D">
                    <w:rPr>
                      <w:rFonts w:asciiTheme="majorHAnsi" w:eastAsia="Times New Roman" w:hAnsiTheme="majorHAnsi" w:cstheme="majorHAnsi"/>
                      <w:bCs w:val="0"/>
                      <w:color w:val="365F91" w:themeColor="accent1" w:themeShade="BF"/>
                      <w:kern w:val="20"/>
                      <w:sz w:val="20"/>
                      <w:szCs w:val="20"/>
                      <w:lang w:eastAsia="en-US"/>
                    </w:rPr>
                    <w:t>SCENARI</w:t>
                  </w:r>
                </w:p>
              </w:tc>
              <w:tc>
                <w:tcPr>
                  <w:tcW w:w="4820" w:type="dxa"/>
                </w:tcPr>
                <w:p w14:paraId="525F8B13" w14:textId="77777777" w:rsidR="00D234FB" w:rsidRPr="00521D0D" w:rsidRDefault="00D234FB" w:rsidP="00746755">
                  <w:pPr>
                    <w:tabs>
                      <w:tab w:val="left" w:pos="640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365F91" w:themeColor="accent1" w:themeShade="BF"/>
                      <w:sz w:val="20"/>
                      <w:szCs w:val="20"/>
                      <w14:shadow w14:blurRad="63500" w14:dist="50800" w14:dir="1140000" w14:sx="0" w14:sy="0" w14:kx="0" w14:ky="0" w14:algn="none">
                        <w14:srgbClr w14:val="000000">
                          <w14:alpha w14:val="50000"/>
                        </w14:srgbClr>
                      </w14:shadow>
                    </w:rPr>
                  </w:pPr>
                  <w:r w:rsidRPr="00521D0D">
                    <w:rPr>
                      <w:rFonts w:asciiTheme="majorHAnsi" w:hAnsiTheme="majorHAnsi" w:cstheme="majorHAnsi"/>
                      <w:color w:val="365F91" w:themeColor="accent1" w:themeShade="BF"/>
                      <w:sz w:val="20"/>
                      <w:szCs w:val="20"/>
                      <w14:shadow w14:blurRad="63500" w14:dist="50800" w14:dir="1140000" w14:sx="0" w14:sy="0" w14:kx="0" w14:ky="0" w14:algn="none">
                        <w14:srgbClr w14:val="000000">
                          <w14:alpha w14:val="50000"/>
                        </w14:srgbClr>
                      </w14:shadow>
                    </w:rPr>
                    <w:t>In caso di disinvestimento alla Data di Scadenza</w:t>
                  </w:r>
                </w:p>
              </w:tc>
            </w:tr>
            <w:tr w:rsidR="00D234FB" w:rsidRPr="00521D0D" w14:paraId="0F583567" w14:textId="77777777" w:rsidTr="00746755">
              <w:tc>
                <w:tcPr>
                  <w:cnfStyle w:val="001000000000" w:firstRow="0" w:lastRow="0" w:firstColumn="1" w:lastColumn="0" w:oddVBand="0" w:evenVBand="0" w:oddHBand="0" w:evenHBand="0" w:firstRowFirstColumn="0" w:firstRowLastColumn="0" w:lastRowFirstColumn="0" w:lastRowLastColumn="0"/>
                  <w:tcW w:w="5132" w:type="dxa"/>
                </w:tcPr>
                <w:p w14:paraId="3386CE2F" w14:textId="77777777" w:rsidR="00D234FB" w:rsidRPr="00521D0D" w:rsidRDefault="00D234FB" w:rsidP="00746755">
                  <w:pPr>
                    <w:tabs>
                      <w:tab w:val="left" w:pos="6400"/>
                    </w:tabs>
                    <w:jc w:val="both"/>
                    <w:rPr>
                      <w:rFonts w:asciiTheme="majorHAnsi" w:hAnsiTheme="majorHAnsi" w:cstheme="majorHAnsi"/>
                      <w:b w:val="0"/>
                      <w:color w:val="404040" w:themeColor="text1" w:themeTint="BF"/>
                      <w:sz w:val="20"/>
                      <w:szCs w:val="20"/>
                      <w14:shadow w14:blurRad="63500" w14:dist="50800" w14:dir="1140000" w14:sx="0" w14:sy="0" w14:kx="0" w14:ky="0" w14:algn="none">
                        <w14:srgbClr w14:val="000000">
                          <w14:alpha w14:val="50000"/>
                        </w14:srgbClr>
                      </w14:shadow>
                    </w:rPr>
                  </w:pPr>
                  <w:r w:rsidRPr="00521D0D">
                    <w:rPr>
                      <w:rFonts w:asciiTheme="majorHAnsi" w:eastAsia="Times New Roman" w:hAnsiTheme="majorHAnsi" w:cstheme="majorHAnsi"/>
                      <w:bCs w:val="0"/>
                      <w:color w:val="365F91" w:themeColor="accent1" w:themeShade="BF"/>
                      <w:kern w:val="20"/>
                      <w:sz w:val="20"/>
                      <w:szCs w:val="20"/>
                      <w:lang w:eastAsia="en-US"/>
                    </w:rPr>
                    <w:t>Costi totali</w:t>
                  </w:r>
                </w:p>
              </w:tc>
              <w:tc>
                <w:tcPr>
                  <w:tcW w:w="4820" w:type="dxa"/>
                </w:tcPr>
                <w:p w14:paraId="55A0A7F5" w14:textId="77777777" w:rsidR="00D234FB" w:rsidRPr="00521D0D" w:rsidRDefault="00D234FB" w:rsidP="00746755">
                  <w:pPr>
                    <w:tabs>
                      <w:tab w:val="left" w:pos="640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521D0D">
                    <w:rPr>
                      <w:rFonts w:asciiTheme="majorHAnsi" w:eastAsia="Times New Roman" w:hAnsiTheme="majorHAnsi" w:cstheme="majorHAnsi"/>
                      <w:b/>
                      <w:color w:val="365F91" w:themeColor="accent1" w:themeShade="BF"/>
                      <w:kern w:val="20"/>
                      <w:sz w:val="20"/>
                      <w:szCs w:val="20"/>
                      <w:lang w:eastAsia="en-US"/>
                    </w:rPr>
                    <w:t xml:space="preserve">EUR </w:t>
                  </w:r>
                  <w:r>
                    <w:rPr>
                      <w:rFonts w:asciiTheme="majorHAnsi" w:eastAsia="Times New Roman" w:hAnsiTheme="majorHAnsi" w:cstheme="majorHAnsi"/>
                      <w:b/>
                      <w:color w:val="365F91" w:themeColor="accent1" w:themeShade="BF"/>
                      <w:kern w:val="20"/>
                      <w:sz w:val="20"/>
                      <w:szCs w:val="20"/>
                      <w:lang w:eastAsia="en-US"/>
                    </w:rPr>
                    <w:t>90</w:t>
                  </w:r>
                </w:p>
              </w:tc>
            </w:tr>
            <w:tr w:rsidR="00D234FB" w:rsidRPr="00521D0D" w14:paraId="690C3561" w14:textId="77777777" w:rsidTr="00746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2" w:type="dxa"/>
                </w:tcPr>
                <w:p w14:paraId="46056A43" w14:textId="77777777" w:rsidR="00D234FB" w:rsidRPr="00521D0D" w:rsidRDefault="00D234FB" w:rsidP="00746755">
                  <w:pPr>
                    <w:tabs>
                      <w:tab w:val="left" w:pos="6400"/>
                    </w:tabs>
                    <w:jc w:val="both"/>
                    <w:rPr>
                      <w:rFonts w:asciiTheme="majorHAnsi" w:hAnsiTheme="majorHAnsi" w:cstheme="majorHAnsi"/>
                      <w:b w:val="0"/>
                      <w:color w:val="404040" w:themeColor="text1" w:themeTint="BF"/>
                      <w:sz w:val="20"/>
                      <w:szCs w:val="20"/>
                      <w14:shadow w14:blurRad="63500" w14:dist="50800" w14:dir="1140000" w14:sx="0" w14:sy="0" w14:kx="0" w14:ky="0" w14:algn="none">
                        <w14:srgbClr w14:val="000000">
                          <w14:alpha w14:val="50000"/>
                        </w14:srgbClr>
                      </w14:shadow>
                    </w:rPr>
                  </w:pPr>
                  <w:r w:rsidRPr="00521D0D">
                    <w:rPr>
                      <w:rFonts w:asciiTheme="majorHAnsi" w:eastAsia="Times New Roman" w:hAnsiTheme="majorHAnsi" w:cstheme="majorHAnsi"/>
                      <w:bCs w:val="0"/>
                      <w:color w:val="365F91" w:themeColor="accent1" w:themeShade="BF"/>
                      <w:kern w:val="20"/>
                      <w:sz w:val="20"/>
                      <w:szCs w:val="20"/>
                      <w:lang w:eastAsia="en-US"/>
                    </w:rPr>
                    <w:t>Impatto sul rendimento (RIY) per anno</w:t>
                  </w:r>
                </w:p>
              </w:tc>
              <w:tc>
                <w:tcPr>
                  <w:tcW w:w="4820" w:type="dxa"/>
                </w:tcPr>
                <w:p w14:paraId="58CA6EDF" w14:textId="6C7F25F2" w:rsidR="00D234FB" w:rsidRPr="00521D0D" w:rsidRDefault="00B011CF"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0,</w:t>
                  </w:r>
                  <w:r w:rsidR="00D234FB">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9</w:t>
                  </w:r>
                  <w: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0</w:t>
                  </w:r>
                  <w:r w:rsidR="00D234FB" w:rsidRPr="00521D0D">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w:t>
                  </w:r>
                </w:p>
              </w:tc>
            </w:tr>
          </w:tbl>
          <w:p w14:paraId="1468B850" w14:textId="77777777" w:rsidR="00D234FB" w:rsidRPr="003F742A" w:rsidRDefault="00D234FB" w:rsidP="00746755">
            <w:pPr>
              <w:tabs>
                <w:tab w:val="left" w:pos="6400"/>
              </w:tabs>
              <w:jc w:val="both"/>
              <w:rPr>
                <w:rFonts w:asciiTheme="majorHAnsi" w:eastAsia="Times New Roman" w:hAnsiTheme="majorHAnsi" w:cstheme="majorHAnsi"/>
                <w:b/>
                <w:color w:val="365F91" w:themeColor="accent1" w:themeShade="BF"/>
                <w:kern w:val="20"/>
                <w:sz w:val="20"/>
                <w:szCs w:val="20"/>
                <w:lang w:eastAsia="en-US"/>
              </w:rPr>
            </w:pPr>
            <w:r w:rsidRPr="003F742A">
              <w:rPr>
                <w:rFonts w:asciiTheme="majorHAnsi" w:eastAsia="Times New Roman" w:hAnsiTheme="majorHAnsi" w:cstheme="majorHAnsi"/>
                <w:b/>
                <w:color w:val="365F91" w:themeColor="accent1" w:themeShade="BF"/>
                <w:kern w:val="20"/>
                <w:sz w:val="20"/>
                <w:szCs w:val="20"/>
                <w:lang w:eastAsia="en-US"/>
              </w:rPr>
              <w:t xml:space="preserve">Composizione dei costi: </w:t>
            </w:r>
          </w:p>
          <w:p w14:paraId="10738206" w14:textId="77777777" w:rsidR="00D234FB" w:rsidRPr="003F742A" w:rsidRDefault="00D234FB" w:rsidP="00746755">
            <w:pPr>
              <w:tabs>
                <w:tab w:val="left" w:pos="6400"/>
              </w:tabs>
              <w:jc w:val="both"/>
              <w:rPr>
                <w:rFonts w:asciiTheme="majorHAnsi" w:hAnsiTheme="majorHAnsi" w:cstheme="majorHAnsi"/>
                <w:sz w:val="20"/>
                <w:szCs w:val="20"/>
              </w:rPr>
            </w:pPr>
            <w:r w:rsidRPr="003F742A">
              <w:rPr>
                <w:rFonts w:asciiTheme="majorHAnsi" w:hAnsiTheme="majorHAnsi" w:cstheme="majorHAnsi"/>
                <w:sz w:val="20"/>
                <w:szCs w:val="20"/>
              </w:rPr>
              <w:t xml:space="preserve">La seguente tabella presenta: </w:t>
            </w:r>
            <w:r w:rsidR="00973757">
              <w:rPr>
                <w:rFonts w:asciiTheme="majorHAnsi" w:hAnsiTheme="majorHAnsi" w:cstheme="majorHAnsi"/>
                <w:sz w:val="20"/>
                <w:szCs w:val="20"/>
              </w:rPr>
              <w:t xml:space="preserve">a) </w:t>
            </w:r>
            <w:r w:rsidRPr="003F742A">
              <w:rPr>
                <w:rFonts w:asciiTheme="majorHAnsi" w:hAnsiTheme="majorHAnsi" w:cstheme="majorHAnsi"/>
                <w:sz w:val="20"/>
                <w:szCs w:val="20"/>
              </w:rPr>
              <w:t>l'impatto,</w:t>
            </w:r>
            <w:r w:rsidR="00A87D59">
              <w:rPr>
                <w:rFonts w:asciiTheme="majorHAnsi" w:hAnsiTheme="majorHAnsi" w:cstheme="majorHAnsi"/>
                <w:sz w:val="20"/>
                <w:szCs w:val="20"/>
              </w:rPr>
              <w:t xml:space="preserve"> </w:t>
            </w:r>
            <w:r w:rsidR="00725B10">
              <w:rPr>
                <w:rFonts w:asciiTheme="majorHAnsi" w:hAnsiTheme="majorHAnsi" w:cstheme="majorHAnsi"/>
                <w:sz w:val="20"/>
                <w:szCs w:val="20"/>
              </w:rPr>
              <w:t>su base annua</w:t>
            </w:r>
            <w:r w:rsidRPr="003F742A">
              <w:rPr>
                <w:rFonts w:asciiTheme="majorHAnsi" w:hAnsiTheme="majorHAnsi" w:cstheme="majorHAnsi"/>
                <w:sz w:val="20"/>
                <w:szCs w:val="20"/>
              </w:rPr>
              <w:t xml:space="preserve">, dei differenti tipi di costi sul possibile rendimento dell'investimento alla fine del periodo di detenzione raccomandato; </w:t>
            </w:r>
            <w:r w:rsidR="00973757">
              <w:rPr>
                <w:rFonts w:asciiTheme="majorHAnsi" w:hAnsiTheme="majorHAnsi" w:cstheme="majorHAnsi"/>
                <w:sz w:val="20"/>
                <w:szCs w:val="20"/>
              </w:rPr>
              <w:t>b)</w:t>
            </w:r>
            <w:r w:rsidRPr="003F742A">
              <w:rPr>
                <w:rFonts w:asciiTheme="majorHAnsi" w:hAnsiTheme="majorHAnsi" w:cstheme="majorHAnsi"/>
                <w:sz w:val="20"/>
                <w:szCs w:val="20"/>
              </w:rPr>
              <w:t xml:space="preserve"> il significato delle differenti categorie di costi.</w:t>
            </w:r>
          </w:p>
          <w:tbl>
            <w:tblPr>
              <w:tblStyle w:val="Tabellagriglia2-colore11"/>
              <w:tblW w:w="0" w:type="auto"/>
              <w:tblLook w:val="04A0" w:firstRow="1" w:lastRow="0" w:firstColumn="1" w:lastColumn="0" w:noHBand="0" w:noVBand="1"/>
            </w:tblPr>
            <w:tblGrid>
              <w:gridCol w:w="2011"/>
              <w:gridCol w:w="2835"/>
              <w:gridCol w:w="713"/>
              <w:gridCol w:w="4114"/>
            </w:tblGrid>
            <w:tr w:rsidR="00D234FB" w:rsidRPr="003F742A" w14:paraId="2360A6BD" w14:textId="77777777" w:rsidTr="00746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4"/>
                </w:tcPr>
                <w:p w14:paraId="3A4FD30F" w14:textId="77777777" w:rsidR="00D234FB" w:rsidRPr="003F742A" w:rsidRDefault="00D234FB" w:rsidP="00746755">
                  <w:pPr>
                    <w:tabs>
                      <w:tab w:val="left" w:pos="6400"/>
                    </w:tabs>
                    <w:jc w:val="both"/>
                    <w:rPr>
                      <w:rFonts w:asciiTheme="majorHAnsi" w:hAnsiTheme="majorHAnsi" w:cstheme="majorHAnsi"/>
                      <w:sz w:val="20"/>
                      <w:szCs w:val="20"/>
                    </w:rPr>
                  </w:pPr>
                  <w:r w:rsidRPr="003F742A">
                    <w:rPr>
                      <w:rFonts w:asciiTheme="majorHAnsi" w:hAnsiTheme="majorHAnsi" w:cstheme="majorHAnsi"/>
                      <w:sz w:val="20"/>
                      <w:szCs w:val="20"/>
                    </w:rPr>
                    <w:t>QUESTA TABELLA PRESENTA L’IMPATTO SUL RENDIMENTO PER ANNO</w:t>
                  </w:r>
                </w:p>
              </w:tc>
            </w:tr>
            <w:tr w:rsidR="00D234FB" w:rsidRPr="003F742A" w14:paraId="3739326B" w14:textId="77777777" w:rsidTr="00943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1" w:type="dxa"/>
                  <w:vMerge w:val="restart"/>
                  <w:vAlign w:val="center"/>
                </w:tcPr>
                <w:p w14:paraId="4DE974A7" w14:textId="77777777" w:rsidR="00D234FB" w:rsidRPr="003F742A" w:rsidRDefault="00D234FB" w:rsidP="00746755">
                  <w:pPr>
                    <w:tabs>
                      <w:tab w:val="left" w:pos="6400"/>
                    </w:tabs>
                    <w:jc w:val="both"/>
                    <w:rPr>
                      <w:rFonts w:asciiTheme="majorHAnsi" w:hAnsiTheme="majorHAnsi" w:cstheme="majorHAnsi"/>
                      <w:sz w:val="20"/>
                      <w:szCs w:val="20"/>
                    </w:rPr>
                  </w:pPr>
                  <w:r w:rsidRPr="003F742A">
                    <w:rPr>
                      <w:rFonts w:asciiTheme="majorHAnsi" w:hAnsiTheme="majorHAnsi" w:cstheme="majorHAnsi"/>
                      <w:sz w:val="20"/>
                      <w:szCs w:val="20"/>
                    </w:rPr>
                    <w:t>COSTI UNA TANTUM</w:t>
                  </w:r>
                </w:p>
              </w:tc>
              <w:tc>
                <w:tcPr>
                  <w:tcW w:w="2835" w:type="dxa"/>
                </w:tcPr>
                <w:p w14:paraId="102D1C43" w14:textId="77777777" w:rsidR="00D234FB" w:rsidRPr="003F742A" w:rsidRDefault="00D234FB" w:rsidP="00746755">
                  <w:pPr>
                    <w:tabs>
                      <w:tab w:val="left" w:pos="640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3F742A">
                    <w:rPr>
                      <w:rFonts w:asciiTheme="majorHAnsi" w:eastAsia="Times New Roman" w:hAnsiTheme="majorHAnsi" w:cstheme="majorHAnsi"/>
                      <w:b/>
                      <w:color w:val="365F91" w:themeColor="accent1" w:themeShade="BF"/>
                      <w:kern w:val="20"/>
                      <w:sz w:val="20"/>
                      <w:szCs w:val="20"/>
                      <w:lang w:eastAsia="en-US"/>
                    </w:rPr>
                    <w:t>Costi di ingresso</w:t>
                  </w:r>
                </w:p>
              </w:tc>
              <w:tc>
                <w:tcPr>
                  <w:tcW w:w="580" w:type="dxa"/>
                  <w:vAlign w:val="center"/>
                </w:tcPr>
                <w:p w14:paraId="2DA1F7E7" w14:textId="58046E79" w:rsidR="00D234FB" w:rsidRPr="006C45B5" w:rsidRDefault="00B011CF" w:rsidP="00746755">
                  <w:pPr>
                    <w:tabs>
                      <w:tab w:val="left" w:pos="6400"/>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r w:rsidR="00D234FB" w:rsidRPr="006C45B5">
                    <w:rPr>
                      <w:rFonts w:asciiTheme="majorHAnsi" w:hAnsiTheme="majorHAnsi" w:cstheme="majorHAnsi"/>
                      <w:sz w:val="20"/>
                      <w:szCs w:val="20"/>
                    </w:rPr>
                    <w:t>9</w:t>
                  </w:r>
                  <w:r>
                    <w:rPr>
                      <w:rFonts w:asciiTheme="majorHAnsi" w:hAnsiTheme="majorHAnsi" w:cstheme="majorHAnsi"/>
                      <w:sz w:val="20"/>
                      <w:szCs w:val="20"/>
                    </w:rPr>
                    <w:t>0</w:t>
                  </w:r>
                  <w:r w:rsidR="00D234FB" w:rsidRPr="006C45B5">
                    <w:rPr>
                      <w:rFonts w:asciiTheme="majorHAnsi" w:hAnsiTheme="majorHAnsi" w:cstheme="majorHAnsi"/>
                      <w:sz w:val="20"/>
                      <w:szCs w:val="20"/>
                    </w:rPr>
                    <w:t>%</w:t>
                  </w:r>
                </w:p>
              </w:tc>
              <w:tc>
                <w:tcPr>
                  <w:tcW w:w="4114" w:type="dxa"/>
                </w:tcPr>
                <w:p w14:paraId="39B03049" w14:textId="77777777" w:rsidR="00D234FB" w:rsidRPr="003F742A" w:rsidRDefault="00D234FB"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I costi massimi applicabili sono pari al 9/°°° calcolati sul cambio a termine. </w:t>
                  </w:r>
                  <w:r w:rsidRPr="00521D0D">
                    <w:rPr>
                      <w:rFonts w:asciiTheme="majorHAnsi" w:hAnsiTheme="majorHAnsi" w:cstheme="majorHAnsi"/>
                      <w:sz w:val="20"/>
                      <w:szCs w:val="20"/>
                    </w:rPr>
                    <w:t>Impatto dei costi già compres</w:t>
                  </w:r>
                  <w:r>
                    <w:rPr>
                      <w:rFonts w:asciiTheme="majorHAnsi" w:hAnsiTheme="majorHAnsi" w:cstheme="majorHAnsi"/>
                      <w:sz w:val="20"/>
                      <w:szCs w:val="20"/>
                    </w:rPr>
                    <w:t>o</w:t>
                  </w:r>
                  <w:r w:rsidRPr="00521D0D">
                    <w:rPr>
                      <w:rFonts w:asciiTheme="majorHAnsi" w:hAnsiTheme="majorHAnsi" w:cstheme="majorHAnsi"/>
                      <w:sz w:val="20"/>
                      <w:szCs w:val="20"/>
                    </w:rPr>
                    <w:t xml:space="preserve"> nel prezzo</w:t>
                  </w:r>
                </w:p>
              </w:tc>
            </w:tr>
            <w:tr w:rsidR="00D234FB" w:rsidRPr="003F742A" w14:paraId="1062D819" w14:textId="77777777" w:rsidTr="00943250">
              <w:tc>
                <w:tcPr>
                  <w:cnfStyle w:val="001000000000" w:firstRow="0" w:lastRow="0" w:firstColumn="1" w:lastColumn="0" w:oddVBand="0" w:evenVBand="0" w:oddHBand="0" w:evenHBand="0" w:firstRowFirstColumn="0" w:firstRowLastColumn="0" w:lastRowFirstColumn="0" w:lastRowLastColumn="0"/>
                  <w:tcW w:w="2011" w:type="dxa"/>
                  <w:vMerge/>
                  <w:vAlign w:val="center"/>
                </w:tcPr>
                <w:p w14:paraId="284FFACE" w14:textId="77777777" w:rsidR="00D234FB" w:rsidRPr="003F742A" w:rsidRDefault="00D234FB" w:rsidP="00746755">
                  <w:pPr>
                    <w:tabs>
                      <w:tab w:val="left" w:pos="6400"/>
                    </w:tabs>
                    <w:jc w:val="both"/>
                    <w:rPr>
                      <w:rFonts w:asciiTheme="majorHAnsi" w:hAnsiTheme="majorHAnsi" w:cstheme="majorHAnsi"/>
                      <w:sz w:val="20"/>
                      <w:szCs w:val="20"/>
                    </w:rPr>
                  </w:pPr>
                </w:p>
              </w:tc>
              <w:tc>
                <w:tcPr>
                  <w:tcW w:w="2835" w:type="dxa"/>
                </w:tcPr>
                <w:p w14:paraId="1F5572B3" w14:textId="77777777" w:rsidR="00D234FB" w:rsidRPr="003F742A" w:rsidRDefault="00D234FB" w:rsidP="00746755">
                  <w:pPr>
                    <w:tabs>
                      <w:tab w:val="left" w:pos="640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3F742A">
                    <w:rPr>
                      <w:rFonts w:asciiTheme="majorHAnsi" w:hAnsiTheme="majorHAnsi" w:cstheme="majorHAnsi"/>
                      <w:b/>
                      <w:sz w:val="20"/>
                      <w:szCs w:val="20"/>
                    </w:rPr>
                    <w:t>Costi di uscita</w:t>
                  </w:r>
                </w:p>
              </w:tc>
              <w:tc>
                <w:tcPr>
                  <w:tcW w:w="580" w:type="dxa"/>
                  <w:vAlign w:val="center"/>
                </w:tcPr>
                <w:p w14:paraId="2C1E09E8" w14:textId="77777777" w:rsidR="00D234FB" w:rsidRPr="006C45B5" w:rsidRDefault="00C477F6" w:rsidP="00746755">
                  <w:pPr>
                    <w:tabs>
                      <w:tab w:val="left" w:pos="6400"/>
                    </w:tab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N.A.</w:t>
                  </w:r>
                </w:p>
              </w:tc>
              <w:tc>
                <w:tcPr>
                  <w:tcW w:w="4114" w:type="dxa"/>
                </w:tcPr>
                <w:p w14:paraId="176ECAB2" w14:textId="77777777" w:rsidR="00D234FB" w:rsidRPr="003F742A" w:rsidRDefault="00D234FB" w:rsidP="00746755">
                  <w:pPr>
                    <w:tabs>
                      <w:tab w:val="left" w:pos="640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3F742A">
                    <w:rPr>
                      <w:rFonts w:asciiTheme="majorHAnsi" w:hAnsiTheme="majorHAnsi" w:cstheme="majorHAnsi"/>
                      <w:sz w:val="20"/>
                      <w:szCs w:val="20"/>
                    </w:rPr>
                    <w:t xml:space="preserve">Impatto dei costi di </w:t>
                  </w:r>
                  <w:proofErr w:type="spellStart"/>
                  <w:r w:rsidRPr="003F742A">
                    <w:rPr>
                      <w:rFonts w:asciiTheme="majorHAnsi" w:hAnsiTheme="majorHAnsi" w:cstheme="majorHAnsi"/>
                      <w:sz w:val="20"/>
                      <w:szCs w:val="20"/>
                    </w:rPr>
                    <w:t>uscita</w:t>
                  </w:r>
                  <w:proofErr w:type="spellEnd"/>
                  <w:r w:rsidRPr="003F742A">
                    <w:rPr>
                      <w:rFonts w:asciiTheme="majorHAnsi" w:hAnsiTheme="majorHAnsi" w:cstheme="majorHAnsi"/>
                      <w:sz w:val="20"/>
                      <w:szCs w:val="20"/>
                    </w:rPr>
                    <w:t xml:space="preserve"> </w:t>
                  </w:r>
                  <w:r w:rsidR="00C477F6">
                    <w:rPr>
                      <w:rFonts w:asciiTheme="majorHAnsi" w:hAnsiTheme="majorHAnsi" w:cstheme="majorHAnsi"/>
                      <w:sz w:val="20"/>
                      <w:szCs w:val="20"/>
                    </w:rPr>
                    <w:t>d</w:t>
                  </w:r>
                  <w:r w:rsidRPr="003F742A">
                    <w:rPr>
                      <w:rFonts w:asciiTheme="majorHAnsi" w:hAnsiTheme="majorHAnsi" w:cstheme="majorHAnsi"/>
                      <w:sz w:val="20"/>
                      <w:szCs w:val="20"/>
                    </w:rPr>
                    <w:t>all'investimento alla scadenza</w:t>
                  </w:r>
                  <w:r w:rsidR="00C477F6">
                    <w:rPr>
                      <w:rFonts w:asciiTheme="majorHAnsi" w:hAnsiTheme="majorHAnsi" w:cstheme="majorHAnsi"/>
                      <w:sz w:val="20"/>
                      <w:szCs w:val="20"/>
                    </w:rPr>
                    <w:t xml:space="preserve"> contrattuale</w:t>
                  </w:r>
                </w:p>
              </w:tc>
            </w:tr>
            <w:tr w:rsidR="00D234FB" w:rsidRPr="003F742A" w14:paraId="04DEB3ED" w14:textId="77777777" w:rsidTr="00943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1" w:type="dxa"/>
                  <w:vMerge w:val="restart"/>
                  <w:shd w:val="clear" w:color="auto" w:fill="FFFFFF" w:themeFill="background1"/>
                  <w:vAlign w:val="center"/>
                </w:tcPr>
                <w:p w14:paraId="3B08EADC" w14:textId="77777777" w:rsidR="00D234FB" w:rsidRPr="003F742A" w:rsidRDefault="00D234FB" w:rsidP="00746755">
                  <w:pPr>
                    <w:tabs>
                      <w:tab w:val="left" w:pos="6400"/>
                    </w:tabs>
                    <w:jc w:val="both"/>
                    <w:rPr>
                      <w:rFonts w:asciiTheme="majorHAnsi" w:hAnsiTheme="majorHAnsi" w:cstheme="majorHAnsi"/>
                      <w:sz w:val="20"/>
                      <w:szCs w:val="20"/>
                    </w:rPr>
                  </w:pPr>
                  <w:r w:rsidRPr="003F742A">
                    <w:rPr>
                      <w:rFonts w:asciiTheme="majorHAnsi" w:hAnsiTheme="majorHAnsi" w:cstheme="majorHAnsi"/>
                      <w:sz w:val="20"/>
                      <w:szCs w:val="20"/>
                    </w:rPr>
                    <w:t>COSTI RICORRENTI</w:t>
                  </w:r>
                </w:p>
              </w:tc>
              <w:tc>
                <w:tcPr>
                  <w:tcW w:w="2835" w:type="dxa"/>
                </w:tcPr>
                <w:p w14:paraId="6026C11A" w14:textId="77777777" w:rsidR="00D234FB" w:rsidRPr="003F742A" w:rsidRDefault="00D234FB" w:rsidP="00746755">
                  <w:pPr>
                    <w:tabs>
                      <w:tab w:val="left" w:pos="640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3F742A">
                    <w:rPr>
                      <w:rFonts w:asciiTheme="majorHAnsi" w:eastAsia="Times New Roman" w:hAnsiTheme="majorHAnsi" w:cstheme="majorHAnsi"/>
                      <w:b/>
                      <w:color w:val="365F91" w:themeColor="accent1" w:themeShade="BF"/>
                      <w:kern w:val="20"/>
                      <w:sz w:val="20"/>
                      <w:szCs w:val="20"/>
                      <w:lang w:eastAsia="en-US"/>
                    </w:rPr>
                    <w:t>Costi di transazione del portafoglio</w:t>
                  </w:r>
                </w:p>
              </w:tc>
              <w:tc>
                <w:tcPr>
                  <w:tcW w:w="580" w:type="dxa"/>
                  <w:vAlign w:val="center"/>
                </w:tcPr>
                <w:p w14:paraId="49CAF1B7" w14:textId="77777777" w:rsidR="00D234FB" w:rsidRPr="006C45B5" w:rsidRDefault="00D234FB" w:rsidP="00746755">
                  <w:pPr>
                    <w:tabs>
                      <w:tab w:val="left" w:pos="6400"/>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6C45B5">
                    <w:rPr>
                      <w:rFonts w:asciiTheme="majorHAnsi" w:hAnsiTheme="majorHAnsi" w:cstheme="majorHAnsi"/>
                      <w:sz w:val="20"/>
                      <w:szCs w:val="20"/>
                    </w:rPr>
                    <w:t>N.A.</w:t>
                  </w:r>
                </w:p>
              </w:tc>
              <w:tc>
                <w:tcPr>
                  <w:tcW w:w="4114" w:type="dxa"/>
                </w:tcPr>
                <w:p w14:paraId="09A7C935" w14:textId="77777777" w:rsidR="00D234FB" w:rsidRPr="003F742A" w:rsidRDefault="00D234FB"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3F742A">
                    <w:rPr>
                      <w:rFonts w:asciiTheme="majorHAnsi" w:hAnsiTheme="majorHAnsi" w:cstheme="majorHAnsi"/>
                      <w:sz w:val="20"/>
                      <w:szCs w:val="20"/>
                    </w:rPr>
                    <w:t>Impatto dei nostri costi di acquisto e vendita degli investimenti sottostanti per il prodotto</w:t>
                  </w:r>
                </w:p>
              </w:tc>
            </w:tr>
            <w:tr w:rsidR="00D234FB" w:rsidRPr="003F742A" w14:paraId="20DB402A" w14:textId="77777777" w:rsidTr="00943250">
              <w:tc>
                <w:tcPr>
                  <w:cnfStyle w:val="001000000000" w:firstRow="0" w:lastRow="0" w:firstColumn="1" w:lastColumn="0" w:oddVBand="0" w:evenVBand="0" w:oddHBand="0" w:evenHBand="0" w:firstRowFirstColumn="0" w:firstRowLastColumn="0" w:lastRowFirstColumn="0" w:lastRowLastColumn="0"/>
                  <w:tcW w:w="2011" w:type="dxa"/>
                  <w:vMerge/>
                  <w:shd w:val="clear" w:color="auto" w:fill="FFFFFF" w:themeFill="background1"/>
                  <w:vAlign w:val="center"/>
                </w:tcPr>
                <w:p w14:paraId="6EA92B04" w14:textId="77777777" w:rsidR="00D234FB" w:rsidRPr="003F742A" w:rsidRDefault="00D234FB" w:rsidP="00746755">
                  <w:pPr>
                    <w:tabs>
                      <w:tab w:val="left" w:pos="6400"/>
                    </w:tabs>
                    <w:jc w:val="both"/>
                    <w:rPr>
                      <w:rFonts w:asciiTheme="majorHAnsi" w:hAnsiTheme="majorHAnsi" w:cstheme="majorHAnsi"/>
                      <w:sz w:val="20"/>
                      <w:szCs w:val="20"/>
                    </w:rPr>
                  </w:pPr>
                </w:p>
              </w:tc>
              <w:tc>
                <w:tcPr>
                  <w:tcW w:w="2835" w:type="dxa"/>
                </w:tcPr>
                <w:p w14:paraId="6AE420D3" w14:textId="77777777" w:rsidR="00D234FB" w:rsidRPr="003F742A" w:rsidRDefault="00D234FB" w:rsidP="00746755">
                  <w:pPr>
                    <w:tabs>
                      <w:tab w:val="left" w:pos="640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3F742A">
                    <w:rPr>
                      <w:rFonts w:asciiTheme="majorHAnsi" w:hAnsiTheme="majorHAnsi" w:cstheme="majorHAnsi"/>
                      <w:b/>
                      <w:sz w:val="20"/>
                      <w:szCs w:val="20"/>
                    </w:rPr>
                    <w:t>Altri costi correnti</w:t>
                  </w:r>
                </w:p>
              </w:tc>
              <w:tc>
                <w:tcPr>
                  <w:tcW w:w="580" w:type="dxa"/>
                  <w:vAlign w:val="center"/>
                </w:tcPr>
                <w:p w14:paraId="4CCC3FE7" w14:textId="77777777" w:rsidR="00D234FB" w:rsidRPr="006C45B5" w:rsidRDefault="00D234FB" w:rsidP="00746755">
                  <w:pPr>
                    <w:tabs>
                      <w:tab w:val="left" w:pos="6400"/>
                    </w:tab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6C45B5">
                    <w:rPr>
                      <w:rFonts w:asciiTheme="majorHAnsi" w:hAnsiTheme="majorHAnsi" w:cstheme="majorHAnsi"/>
                      <w:sz w:val="20"/>
                      <w:szCs w:val="20"/>
                    </w:rPr>
                    <w:t>N.A.</w:t>
                  </w:r>
                </w:p>
              </w:tc>
              <w:tc>
                <w:tcPr>
                  <w:tcW w:w="4114" w:type="dxa"/>
                </w:tcPr>
                <w:p w14:paraId="52BC677E" w14:textId="77777777" w:rsidR="00D234FB" w:rsidRPr="003F742A" w:rsidRDefault="00D234FB" w:rsidP="00746755">
                  <w:pPr>
                    <w:tabs>
                      <w:tab w:val="left" w:pos="640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3F742A">
                    <w:rPr>
                      <w:rFonts w:asciiTheme="majorHAnsi" w:hAnsiTheme="majorHAnsi" w:cstheme="majorHAnsi"/>
                      <w:sz w:val="20"/>
                      <w:szCs w:val="20"/>
                    </w:rPr>
                    <w:t>Impatto dei costi che tratteniamo ogni anno per gestire i vostri investimenti.</w:t>
                  </w:r>
                </w:p>
              </w:tc>
            </w:tr>
            <w:tr w:rsidR="00D234FB" w:rsidRPr="003F742A" w14:paraId="44871F73" w14:textId="77777777" w:rsidTr="00943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1" w:type="dxa"/>
                  <w:vMerge w:val="restart"/>
                  <w:vAlign w:val="center"/>
                </w:tcPr>
                <w:p w14:paraId="16395A9C" w14:textId="77777777" w:rsidR="00D234FB" w:rsidRPr="003F742A" w:rsidRDefault="00D234FB" w:rsidP="00746755">
                  <w:pPr>
                    <w:tabs>
                      <w:tab w:val="left" w:pos="6400"/>
                    </w:tabs>
                    <w:jc w:val="both"/>
                    <w:rPr>
                      <w:rFonts w:asciiTheme="majorHAnsi" w:hAnsiTheme="majorHAnsi" w:cstheme="majorHAnsi"/>
                      <w:sz w:val="20"/>
                      <w:szCs w:val="20"/>
                    </w:rPr>
                  </w:pPr>
                  <w:r w:rsidRPr="003F742A">
                    <w:rPr>
                      <w:rFonts w:asciiTheme="majorHAnsi" w:hAnsiTheme="majorHAnsi" w:cstheme="majorHAnsi"/>
                      <w:sz w:val="20"/>
                      <w:szCs w:val="20"/>
                    </w:rPr>
                    <w:t>ONERI ACCESSORI</w:t>
                  </w:r>
                </w:p>
              </w:tc>
              <w:tc>
                <w:tcPr>
                  <w:tcW w:w="2835" w:type="dxa"/>
                </w:tcPr>
                <w:p w14:paraId="3155D3DC" w14:textId="77777777" w:rsidR="00D234FB" w:rsidRPr="003F742A" w:rsidRDefault="00D234FB" w:rsidP="00746755">
                  <w:pPr>
                    <w:tabs>
                      <w:tab w:val="left" w:pos="6400"/>
                    </w:tabs>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color w:val="365F91" w:themeColor="accent1" w:themeShade="BF"/>
                      <w:kern w:val="20"/>
                      <w:sz w:val="20"/>
                      <w:szCs w:val="20"/>
                      <w:lang w:eastAsia="en-US"/>
                    </w:rPr>
                  </w:pPr>
                  <w:r w:rsidRPr="003F742A">
                    <w:rPr>
                      <w:rFonts w:asciiTheme="majorHAnsi" w:eastAsia="Times New Roman" w:hAnsiTheme="majorHAnsi" w:cstheme="majorHAnsi"/>
                      <w:b/>
                      <w:color w:val="365F91" w:themeColor="accent1" w:themeShade="BF"/>
                      <w:kern w:val="20"/>
                      <w:sz w:val="20"/>
                      <w:szCs w:val="20"/>
                      <w:lang w:eastAsia="en-US"/>
                    </w:rPr>
                    <w:t>Commissioni di performance</w:t>
                  </w:r>
                </w:p>
              </w:tc>
              <w:tc>
                <w:tcPr>
                  <w:tcW w:w="580" w:type="dxa"/>
                  <w:vAlign w:val="center"/>
                </w:tcPr>
                <w:p w14:paraId="44AD79CF" w14:textId="77777777" w:rsidR="00D234FB" w:rsidRPr="006C45B5" w:rsidRDefault="00D234FB" w:rsidP="00746755">
                  <w:pPr>
                    <w:tabs>
                      <w:tab w:val="left" w:pos="6400"/>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6C45B5">
                    <w:rPr>
                      <w:rFonts w:asciiTheme="majorHAnsi" w:hAnsiTheme="majorHAnsi" w:cstheme="majorHAnsi"/>
                      <w:sz w:val="20"/>
                      <w:szCs w:val="20"/>
                    </w:rPr>
                    <w:t>N.A.</w:t>
                  </w:r>
                </w:p>
              </w:tc>
              <w:tc>
                <w:tcPr>
                  <w:tcW w:w="4114" w:type="dxa"/>
                </w:tcPr>
                <w:p w14:paraId="4E26E0B3" w14:textId="77777777" w:rsidR="00D234FB" w:rsidRPr="003F742A" w:rsidRDefault="00D234FB"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3F742A">
                    <w:rPr>
                      <w:rFonts w:asciiTheme="majorHAnsi" w:hAnsiTheme="majorHAnsi" w:cstheme="majorHAnsi"/>
                      <w:sz w:val="20"/>
                      <w:szCs w:val="20"/>
                    </w:rPr>
                    <w:t>Impatto delle commissioni di Performance.</w:t>
                  </w:r>
                </w:p>
              </w:tc>
            </w:tr>
            <w:tr w:rsidR="00D234FB" w:rsidRPr="003F742A" w14:paraId="3BCAB753" w14:textId="77777777" w:rsidTr="00943250">
              <w:tc>
                <w:tcPr>
                  <w:cnfStyle w:val="001000000000" w:firstRow="0" w:lastRow="0" w:firstColumn="1" w:lastColumn="0" w:oddVBand="0" w:evenVBand="0" w:oddHBand="0" w:evenHBand="0" w:firstRowFirstColumn="0" w:firstRowLastColumn="0" w:lastRowFirstColumn="0" w:lastRowLastColumn="0"/>
                  <w:tcW w:w="2011" w:type="dxa"/>
                  <w:vMerge/>
                </w:tcPr>
                <w:p w14:paraId="0ECE5240" w14:textId="77777777" w:rsidR="00D234FB" w:rsidRPr="003F742A" w:rsidRDefault="00D234FB" w:rsidP="00746755">
                  <w:pPr>
                    <w:tabs>
                      <w:tab w:val="left" w:pos="6400"/>
                    </w:tabs>
                    <w:jc w:val="both"/>
                    <w:rPr>
                      <w:rFonts w:asciiTheme="majorHAnsi" w:hAnsiTheme="majorHAnsi" w:cstheme="majorHAnsi"/>
                      <w:sz w:val="20"/>
                      <w:szCs w:val="20"/>
                    </w:rPr>
                  </w:pPr>
                </w:p>
              </w:tc>
              <w:tc>
                <w:tcPr>
                  <w:tcW w:w="2835" w:type="dxa"/>
                </w:tcPr>
                <w:p w14:paraId="1C362211" w14:textId="77777777" w:rsidR="00D234FB" w:rsidRPr="003F742A" w:rsidRDefault="00D234FB" w:rsidP="00746755">
                  <w:pPr>
                    <w:tabs>
                      <w:tab w:val="left" w:pos="640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roofErr w:type="spellStart"/>
                  <w:r w:rsidRPr="003F742A">
                    <w:rPr>
                      <w:rFonts w:asciiTheme="majorHAnsi" w:hAnsiTheme="majorHAnsi" w:cstheme="majorHAnsi"/>
                      <w:b/>
                      <w:sz w:val="20"/>
                      <w:szCs w:val="20"/>
                    </w:rPr>
                    <w:t>Carried</w:t>
                  </w:r>
                  <w:proofErr w:type="spellEnd"/>
                  <w:r w:rsidRPr="003F742A">
                    <w:rPr>
                      <w:rFonts w:asciiTheme="majorHAnsi" w:hAnsiTheme="majorHAnsi" w:cstheme="majorHAnsi"/>
                      <w:b/>
                      <w:sz w:val="20"/>
                      <w:szCs w:val="20"/>
                    </w:rPr>
                    <w:t xml:space="preserve"> </w:t>
                  </w:r>
                  <w:proofErr w:type="spellStart"/>
                  <w:r w:rsidRPr="003F742A">
                    <w:rPr>
                      <w:rFonts w:asciiTheme="majorHAnsi" w:hAnsiTheme="majorHAnsi" w:cstheme="majorHAnsi"/>
                      <w:b/>
                      <w:sz w:val="20"/>
                      <w:szCs w:val="20"/>
                    </w:rPr>
                    <w:t>interests</w:t>
                  </w:r>
                  <w:proofErr w:type="spellEnd"/>
                  <w:r w:rsidRPr="003F742A">
                    <w:rPr>
                      <w:rFonts w:asciiTheme="majorHAnsi" w:hAnsiTheme="majorHAnsi" w:cstheme="majorHAnsi"/>
                      <w:b/>
                      <w:sz w:val="20"/>
                      <w:szCs w:val="20"/>
                    </w:rPr>
                    <w:t xml:space="preserve"> (commissioni di </w:t>
                  </w:r>
                  <w:proofErr w:type="spellStart"/>
                  <w:r w:rsidRPr="003F742A">
                    <w:rPr>
                      <w:rFonts w:asciiTheme="majorHAnsi" w:hAnsiTheme="majorHAnsi" w:cstheme="majorHAnsi"/>
                      <w:b/>
                      <w:sz w:val="20"/>
                      <w:szCs w:val="20"/>
                    </w:rPr>
                    <w:t>overperformance</w:t>
                  </w:r>
                  <w:proofErr w:type="spellEnd"/>
                  <w:r w:rsidRPr="003F742A">
                    <w:rPr>
                      <w:rFonts w:asciiTheme="majorHAnsi" w:hAnsiTheme="majorHAnsi" w:cstheme="majorHAnsi"/>
                      <w:b/>
                      <w:sz w:val="20"/>
                      <w:szCs w:val="20"/>
                    </w:rPr>
                    <w:t>)</w:t>
                  </w:r>
                </w:p>
              </w:tc>
              <w:tc>
                <w:tcPr>
                  <w:tcW w:w="580" w:type="dxa"/>
                  <w:vAlign w:val="center"/>
                </w:tcPr>
                <w:p w14:paraId="63C59E38" w14:textId="77777777" w:rsidR="00D234FB" w:rsidRPr="006C45B5" w:rsidRDefault="00D234FB" w:rsidP="00746755">
                  <w:pPr>
                    <w:tabs>
                      <w:tab w:val="left" w:pos="6400"/>
                    </w:tab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6C45B5">
                    <w:rPr>
                      <w:rFonts w:asciiTheme="majorHAnsi" w:hAnsiTheme="majorHAnsi" w:cstheme="majorHAnsi"/>
                      <w:sz w:val="20"/>
                      <w:szCs w:val="20"/>
                    </w:rPr>
                    <w:t>N.A.</w:t>
                  </w:r>
                </w:p>
              </w:tc>
              <w:tc>
                <w:tcPr>
                  <w:tcW w:w="4114" w:type="dxa"/>
                </w:tcPr>
                <w:p w14:paraId="2F53C574" w14:textId="77777777" w:rsidR="00D234FB" w:rsidRPr="003F742A" w:rsidRDefault="00D234FB" w:rsidP="00746755">
                  <w:pPr>
                    <w:tabs>
                      <w:tab w:val="left" w:pos="640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3F742A">
                    <w:rPr>
                      <w:rFonts w:asciiTheme="majorHAnsi" w:hAnsiTheme="majorHAnsi" w:cstheme="majorHAnsi"/>
                      <w:sz w:val="20"/>
                      <w:szCs w:val="20"/>
                    </w:rPr>
                    <w:t xml:space="preserve">Impatto dei </w:t>
                  </w:r>
                  <w:proofErr w:type="spellStart"/>
                  <w:r w:rsidR="00E07C46">
                    <w:rPr>
                      <w:rFonts w:asciiTheme="majorHAnsi" w:hAnsiTheme="majorHAnsi" w:cstheme="majorHAnsi"/>
                      <w:sz w:val="20"/>
                      <w:szCs w:val="20"/>
                    </w:rPr>
                    <w:t>c</w:t>
                  </w:r>
                  <w:r w:rsidRPr="003F742A">
                    <w:rPr>
                      <w:rFonts w:asciiTheme="majorHAnsi" w:hAnsiTheme="majorHAnsi" w:cstheme="majorHAnsi"/>
                      <w:sz w:val="20"/>
                      <w:szCs w:val="20"/>
                    </w:rPr>
                    <w:t>arried</w:t>
                  </w:r>
                  <w:proofErr w:type="spellEnd"/>
                  <w:r w:rsidRPr="003F742A">
                    <w:rPr>
                      <w:rFonts w:asciiTheme="majorHAnsi" w:hAnsiTheme="majorHAnsi" w:cstheme="majorHAnsi"/>
                      <w:sz w:val="20"/>
                      <w:szCs w:val="20"/>
                    </w:rPr>
                    <w:t xml:space="preserve"> </w:t>
                  </w:r>
                  <w:proofErr w:type="spellStart"/>
                  <w:r w:rsidRPr="003F742A">
                    <w:rPr>
                      <w:rFonts w:asciiTheme="majorHAnsi" w:hAnsiTheme="majorHAnsi" w:cstheme="majorHAnsi"/>
                      <w:sz w:val="20"/>
                      <w:szCs w:val="20"/>
                    </w:rPr>
                    <w:t>interest</w:t>
                  </w:r>
                  <w:proofErr w:type="spellEnd"/>
                  <w:r w:rsidRPr="003F742A">
                    <w:rPr>
                      <w:rFonts w:asciiTheme="majorHAnsi" w:hAnsiTheme="majorHAnsi" w:cstheme="majorHAnsi"/>
                      <w:sz w:val="20"/>
                      <w:szCs w:val="20"/>
                    </w:rPr>
                    <w:t xml:space="preserve"> (commissioni di Performance).</w:t>
                  </w:r>
                </w:p>
              </w:tc>
            </w:tr>
          </w:tbl>
          <w:p w14:paraId="6AE7D03A" w14:textId="797DCF4E" w:rsidR="00D234FB" w:rsidRPr="003F742A"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p>
        </w:tc>
      </w:tr>
      <w:tr w:rsidR="00D234FB" w:rsidRPr="003F742A" w14:paraId="32AB82FA" w14:textId="77777777" w:rsidTr="00746755">
        <w:tc>
          <w:tcPr>
            <w:tcW w:w="10188" w:type="dxa"/>
            <w:tcBorders>
              <w:top w:val="single" w:sz="4" w:space="0" w:color="auto"/>
            </w:tcBorders>
            <w:shd w:val="clear" w:color="auto" w:fill="D9D9D9" w:themeFill="background1" w:themeFillShade="D9"/>
          </w:tcPr>
          <w:p w14:paraId="6F01C9E7" w14:textId="77777777" w:rsidR="00D234FB" w:rsidRPr="003F742A" w:rsidRDefault="00D234FB" w:rsidP="00746755">
            <w:pPr>
              <w:tabs>
                <w:tab w:val="left" w:pos="6400"/>
              </w:tabs>
              <w:jc w:val="cente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eastAsia="Times New Roman" w:hAnsiTheme="majorHAnsi" w:cstheme="majorHAnsi"/>
                <w:b/>
                <w:color w:val="365F91" w:themeColor="accent1" w:themeShade="BF"/>
                <w:kern w:val="20"/>
                <w:sz w:val="20"/>
                <w:szCs w:val="20"/>
                <w:lang w:eastAsia="en-US"/>
              </w:rPr>
              <w:t>PER QUANTO TEMPO DEVO DETENERLO? POSSO RITIRARE IL CAPITALE PREMATURAMENTE?</w:t>
            </w:r>
            <w:r w:rsidRPr="003F742A">
              <w:rPr>
                <w:rFonts w:asciiTheme="majorHAnsi" w:hAnsiTheme="majorHAnsi" w:cstheme="majorHAnsi"/>
                <w:i/>
                <w:color w:val="404040" w:themeColor="text1" w:themeTint="BF"/>
                <w:sz w:val="20"/>
                <w:szCs w:val="20"/>
                <w14:shadow w14:blurRad="63500" w14:dist="50800" w14:dir="1140000" w14:sx="0" w14:sy="0" w14:kx="0" w14:ky="0" w14:algn="none">
                  <w14:srgbClr w14:val="000000">
                    <w14:alpha w14:val="50000"/>
                  </w14:srgbClr>
                </w14:shadow>
              </w:rPr>
              <w:t xml:space="preserve"> </w:t>
            </w:r>
          </w:p>
        </w:tc>
      </w:tr>
      <w:tr w:rsidR="00D234FB" w:rsidRPr="003F742A" w14:paraId="272F1027" w14:textId="77777777" w:rsidTr="00746755">
        <w:tc>
          <w:tcPr>
            <w:tcW w:w="10188" w:type="dxa"/>
            <w:shd w:val="clear" w:color="auto" w:fill="auto"/>
          </w:tcPr>
          <w:p w14:paraId="78CC8590" w14:textId="77777777" w:rsidR="00D234FB" w:rsidRPr="003F742A" w:rsidRDefault="00D234FB" w:rsidP="00746755">
            <w:pPr>
              <w:tabs>
                <w:tab w:val="left" w:pos="6400"/>
              </w:tabs>
              <w:jc w:val="center"/>
              <w:rPr>
                <w:rFonts w:asciiTheme="majorHAnsi" w:hAnsiTheme="majorHAnsi" w:cstheme="majorHAnsi"/>
                <w:sz w:val="20"/>
                <w:szCs w:val="20"/>
                <w:u w:val="single"/>
              </w:rPr>
            </w:pPr>
            <w:r w:rsidRPr="003F742A">
              <w:rPr>
                <w:rFonts w:asciiTheme="majorHAnsi" w:hAnsiTheme="majorHAnsi" w:cstheme="majorHAnsi"/>
                <w:sz w:val="20"/>
                <w:szCs w:val="20"/>
                <w:u w:val="single"/>
              </w:rPr>
              <w:t>PERIODO DI DETENZIONE RACCOMANDATO: SINO ALLA SCADENZA DEL CONTRAT</w:t>
            </w:r>
            <w:r>
              <w:rPr>
                <w:rFonts w:asciiTheme="majorHAnsi" w:hAnsiTheme="majorHAnsi" w:cstheme="majorHAnsi"/>
                <w:sz w:val="20"/>
                <w:szCs w:val="20"/>
                <w:u w:val="single"/>
              </w:rPr>
              <w:t>T</w:t>
            </w:r>
            <w:r w:rsidRPr="003F742A">
              <w:rPr>
                <w:rFonts w:asciiTheme="majorHAnsi" w:hAnsiTheme="majorHAnsi" w:cstheme="majorHAnsi"/>
                <w:sz w:val="20"/>
                <w:szCs w:val="20"/>
                <w:u w:val="single"/>
              </w:rPr>
              <w:t>O</w:t>
            </w:r>
          </w:p>
          <w:p w14:paraId="592CCFDC" w14:textId="19C23CA2" w:rsidR="00D234FB" w:rsidRPr="003F742A" w:rsidRDefault="00E11B76" w:rsidP="00DD6C7F">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sz w:val="20"/>
                <w:szCs w:val="20"/>
              </w:rPr>
              <w:t xml:space="preserve">In considerazione della finalità di copertura del </w:t>
            </w:r>
            <w:r>
              <w:rPr>
                <w:rFonts w:asciiTheme="majorHAnsi" w:hAnsiTheme="majorHAnsi" w:cstheme="majorHAnsi"/>
                <w:sz w:val="20"/>
                <w:szCs w:val="20"/>
              </w:rPr>
              <w:t>prodotto (</w:t>
            </w:r>
            <w:r w:rsidRPr="003F742A">
              <w:rPr>
                <w:rFonts w:asciiTheme="majorHAnsi" w:hAnsiTheme="majorHAnsi" w:cstheme="majorHAnsi"/>
                <w:sz w:val="20"/>
                <w:szCs w:val="20"/>
              </w:rPr>
              <w:t>rischio di variazione dei tassi di cambio</w:t>
            </w:r>
            <w:r>
              <w:rPr>
                <w:rFonts w:asciiTheme="majorHAnsi" w:hAnsiTheme="majorHAnsi" w:cstheme="majorHAnsi"/>
                <w:sz w:val="20"/>
                <w:szCs w:val="20"/>
              </w:rPr>
              <w:t>)</w:t>
            </w:r>
            <w:r w:rsidRPr="003F742A">
              <w:rPr>
                <w:rFonts w:asciiTheme="majorHAnsi" w:hAnsiTheme="majorHAnsi" w:cstheme="majorHAnsi"/>
                <w:sz w:val="20"/>
                <w:szCs w:val="20"/>
              </w:rPr>
              <w:t xml:space="preserve">, </w:t>
            </w:r>
            <w:r>
              <w:rPr>
                <w:rFonts w:asciiTheme="majorHAnsi" w:hAnsiTheme="majorHAnsi" w:cstheme="majorHAnsi"/>
                <w:sz w:val="20"/>
                <w:szCs w:val="20"/>
              </w:rPr>
              <w:t xml:space="preserve">(i) </w:t>
            </w:r>
            <w:r w:rsidRPr="003F742A">
              <w:rPr>
                <w:rFonts w:asciiTheme="majorHAnsi" w:hAnsiTheme="majorHAnsi" w:cstheme="majorHAnsi"/>
                <w:sz w:val="20"/>
                <w:szCs w:val="20"/>
              </w:rPr>
              <w:t xml:space="preserve">il periodo di detenzione raccomandato è sino alla </w:t>
            </w:r>
            <w:r>
              <w:rPr>
                <w:rFonts w:asciiTheme="majorHAnsi" w:hAnsiTheme="majorHAnsi" w:cstheme="majorHAnsi"/>
                <w:sz w:val="20"/>
                <w:szCs w:val="20"/>
              </w:rPr>
              <w:t>d</w:t>
            </w:r>
            <w:r w:rsidRPr="003F742A">
              <w:rPr>
                <w:rFonts w:asciiTheme="majorHAnsi" w:hAnsiTheme="majorHAnsi" w:cstheme="majorHAnsi"/>
                <w:sz w:val="20"/>
                <w:szCs w:val="20"/>
              </w:rPr>
              <w:t xml:space="preserve">ata di </w:t>
            </w:r>
            <w:r>
              <w:rPr>
                <w:rFonts w:asciiTheme="majorHAnsi" w:hAnsiTheme="majorHAnsi" w:cstheme="majorHAnsi"/>
                <w:sz w:val="20"/>
                <w:szCs w:val="20"/>
              </w:rPr>
              <w:t>s</w:t>
            </w:r>
            <w:r w:rsidRPr="003F742A">
              <w:rPr>
                <w:rFonts w:asciiTheme="majorHAnsi" w:hAnsiTheme="majorHAnsi" w:cstheme="majorHAnsi"/>
                <w:sz w:val="20"/>
                <w:szCs w:val="20"/>
              </w:rPr>
              <w:t>cadenza del contratto</w:t>
            </w:r>
            <w:r>
              <w:rPr>
                <w:rFonts w:asciiTheme="majorHAnsi" w:hAnsiTheme="majorHAnsi" w:cstheme="majorHAnsi"/>
                <w:sz w:val="20"/>
                <w:szCs w:val="20"/>
              </w:rPr>
              <w:t xml:space="preserve">, ma (ii) il venir meno, totale o parziale, dell’esigenza di copertura comporta la necessità di </w:t>
            </w:r>
            <w:r w:rsidRPr="003F742A">
              <w:rPr>
                <w:rFonts w:asciiTheme="majorHAnsi" w:hAnsiTheme="majorHAnsi" w:cstheme="majorHAnsi"/>
                <w:sz w:val="20"/>
                <w:szCs w:val="20"/>
              </w:rPr>
              <w:t>estinguere anticipatamente</w:t>
            </w:r>
            <w:r>
              <w:rPr>
                <w:rFonts w:asciiTheme="majorHAnsi" w:hAnsiTheme="majorHAnsi" w:cstheme="majorHAnsi"/>
                <w:sz w:val="20"/>
                <w:szCs w:val="20"/>
              </w:rPr>
              <w:t xml:space="preserve"> o rimodulare</w:t>
            </w:r>
            <w:r w:rsidRPr="003F742A">
              <w:rPr>
                <w:rFonts w:asciiTheme="majorHAnsi" w:hAnsiTheme="majorHAnsi" w:cstheme="majorHAnsi"/>
                <w:sz w:val="20"/>
                <w:szCs w:val="20"/>
              </w:rPr>
              <w:t xml:space="preserve"> il contratto</w:t>
            </w:r>
            <w:r>
              <w:rPr>
                <w:rFonts w:asciiTheme="majorHAnsi" w:hAnsiTheme="majorHAnsi" w:cstheme="majorHAnsi"/>
                <w:sz w:val="20"/>
                <w:szCs w:val="20"/>
              </w:rPr>
              <w:t xml:space="preserve"> al fine di ripristinare la relazione di copertura stessa (oltre a costituire un elemento da cui deriva una delle facoltà di recesso esercitabili dalla banca)</w:t>
            </w:r>
            <w:r w:rsidRPr="003F742A">
              <w:rPr>
                <w:rFonts w:asciiTheme="majorHAnsi" w:hAnsiTheme="majorHAnsi" w:cstheme="majorHAnsi"/>
                <w:sz w:val="20"/>
                <w:szCs w:val="20"/>
              </w:rPr>
              <w:t>. L’</w:t>
            </w:r>
            <w:r>
              <w:rPr>
                <w:rFonts w:asciiTheme="majorHAnsi" w:hAnsiTheme="majorHAnsi" w:cstheme="majorHAnsi"/>
                <w:sz w:val="20"/>
                <w:szCs w:val="20"/>
              </w:rPr>
              <w:t xml:space="preserve">eventuale </w:t>
            </w:r>
            <w:r w:rsidRPr="003F742A">
              <w:rPr>
                <w:rFonts w:asciiTheme="majorHAnsi" w:hAnsiTheme="majorHAnsi" w:cstheme="majorHAnsi"/>
                <w:sz w:val="20"/>
                <w:szCs w:val="20"/>
              </w:rPr>
              <w:t xml:space="preserve">estinzione anticipata comporta la liquidazione del </w:t>
            </w:r>
            <w:r>
              <w:rPr>
                <w:rFonts w:asciiTheme="majorHAnsi" w:hAnsiTheme="majorHAnsi" w:cstheme="majorHAnsi"/>
                <w:sz w:val="20"/>
                <w:szCs w:val="20"/>
              </w:rPr>
              <w:t xml:space="preserve">fair </w:t>
            </w:r>
            <w:proofErr w:type="spellStart"/>
            <w:r>
              <w:rPr>
                <w:rFonts w:asciiTheme="majorHAnsi" w:hAnsiTheme="majorHAnsi" w:cstheme="majorHAnsi"/>
                <w:sz w:val="20"/>
                <w:szCs w:val="20"/>
              </w:rPr>
              <w:t>price</w:t>
            </w:r>
            <w:proofErr w:type="spellEnd"/>
            <w:r w:rsidRPr="0026431A">
              <w:rPr>
                <w:rFonts w:asciiTheme="majorHAnsi" w:hAnsiTheme="majorHAnsi" w:cstheme="majorHAnsi"/>
                <w:sz w:val="20"/>
                <w:szCs w:val="20"/>
              </w:rPr>
              <w:t xml:space="preserve"> del prodotto</w:t>
            </w:r>
            <w:r>
              <w:rPr>
                <w:rFonts w:asciiTheme="majorHAnsi" w:hAnsiTheme="majorHAnsi" w:cstheme="majorHAnsi"/>
                <w:sz w:val="20"/>
                <w:szCs w:val="20"/>
              </w:rPr>
              <w:t xml:space="preserve"> al quale la banca, in funzione dei costi sostenuti e dei rischi assunti, potrà applicare costi supplementari (</w:t>
            </w:r>
            <w:proofErr w:type="spellStart"/>
            <w:r>
              <w:rPr>
                <w:rFonts w:asciiTheme="majorHAnsi" w:hAnsiTheme="majorHAnsi" w:cstheme="majorHAnsi"/>
                <w:sz w:val="20"/>
                <w:szCs w:val="20"/>
              </w:rPr>
              <w:t>mark</w:t>
            </w:r>
            <w:proofErr w:type="spellEnd"/>
            <w:r>
              <w:rPr>
                <w:rFonts w:asciiTheme="majorHAnsi" w:hAnsiTheme="majorHAnsi" w:cstheme="majorHAnsi"/>
                <w:sz w:val="20"/>
                <w:szCs w:val="20"/>
              </w:rPr>
              <w:t xml:space="preserve"> up) nella misura massima dello 0,45% del cambio a termine di riferiment</w:t>
            </w:r>
            <w:r w:rsidRPr="00577344">
              <w:rPr>
                <w:rFonts w:asciiTheme="majorHAnsi" w:hAnsiTheme="majorHAnsi" w:cstheme="majorHAnsi"/>
                <w:sz w:val="20"/>
                <w:szCs w:val="20"/>
              </w:rPr>
              <w:t>o</w:t>
            </w:r>
            <w:r w:rsidR="00F93F51" w:rsidRPr="00577344">
              <w:rPr>
                <w:rFonts w:asciiTheme="majorHAnsi" w:hAnsiTheme="majorHAnsi" w:cstheme="majorHAnsi"/>
                <w:sz w:val="20"/>
                <w:szCs w:val="20"/>
              </w:rPr>
              <w:t>.</w:t>
            </w:r>
          </w:p>
        </w:tc>
      </w:tr>
      <w:tr w:rsidR="00D234FB" w:rsidRPr="003F742A" w14:paraId="268F205D" w14:textId="77777777" w:rsidTr="00746755">
        <w:tc>
          <w:tcPr>
            <w:tcW w:w="10188" w:type="dxa"/>
            <w:shd w:val="clear" w:color="auto" w:fill="D9D9D9" w:themeFill="background1" w:themeFillShade="D9"/>
          </w:tcPr>
          <w:p w14:paraId="538B6ADA" w14:textId="77777777" w:rsidR="00D234FB" w:rsidRPr="003F742A" w:rsidRDefault="00D234FB" w:rsidP="00746755">
            <w:pPr>
              <w:tabs>
                <w:tab w:val="left" w:pos="6400"/>
              </w:tabs>
              <w:jc w:val="cente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eastAsia="Times New Roman" w:hAnsiTheme="majorHAnsi" w:cstheme="majorHAnsi"/>
                <w:b/>
                <w:color w:val="365F91" w:themeColor="accent1" w:themeShade="BF"/>
                <w:kern w:val="20"/>
                <w:sz w:val="20"/>
                <w:szCs w:val="20"/>
                <w:lang w:eastAsia="en-US"/>
              </w:rPr>
              <w:t>COME PRESENTARE RECLAMI?</w:t>
            </w:r>
          </w:p>
        </w:tc>
      </w:tr>
      <w:tr w:rsidR="00D234FB" w:rsidRPr="003F742A" w14:paraId="41126AB7" w14:textId="77777777" w:rsidTr="00746755">
        <w:tc>
          <w:tcPr>
            <w:tcW w:w="10188" w:type="dxa"/>
            <w:shd w:val="clear" w:color="auto" w:fill="auto"/>
          </w:tcPr>
          <w:p w14:paraId="5BD94A3A" w14:textId="77777777" w:rsidR="00D234FB" w:rsidRPr="003F742A"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Eventuali reclami vanno inviati all’Ufficio Reclami della Banca. Si riportano di seguito i riferimenti:</w:t>
            </w:r>
          </w:p>
          <w:p w14:paraId="3A0186FC" w14:textId="77777777" w:rsidR="00D234FB" w:rsidRPr="003F742A" w:rsidRDefault="00D234FB" w:rsidP="00D234FB">
            <w:pPr>
              <w:pStyle w:val="Paragrafoelenco"/>
              <w:numPr>
                <w:ilvl w:val="0"/>
                <w:numId w:val="2"/>
              </w:numPr>
              <w:tabs>
                <w:tab w:val="left" w:pos="6400"/>
              </w:tabs>
              <w:spacing w:before="0" w:after="0"/>
              <w:jc w:val="both"/>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pPr>
            <w:r w:rsidRPr="003F742A">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t>Posta ordinaria: Via Terraglio n.63, 30174 Venezia-Mestre</w:t>
            </w:r>
          </w:p>
          <w:p w14:paraId="67A44B4F" w14:textId="77777777" w:rsidR="00D234FB" w:rsidRPr="00173D0B" w:rsidRDefault="00D234FB" w:rsidP="00D234FB">
            <w:pPr>
              <w:pStyle w:val="Paragrafoelenco"/>
              <w:numPr>
                <w:ilvl w:val="0"/>
                <w:numId w:val="2"/>
              </w:numPr>
              <w:tabs>
                <w:tab w:val="left" w:pos="6400"/>
              </w:tabs>
              <w:spacing w:before="0" w:after="0"/>
              <w:jc w:val="both"/>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pPr>
            <w:r w:rsidRPr="00173D0B">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t xml:space="preserve">Posta elettronica: </w:t>
            </w:r>
            <w:hyperlink r:id="rId12" w:history="1">
              <w:r w:rsidRPr="00173D0B">
                <w:rPr>
                  <w:rStyle w:val="Collegamentoipertestuale"/>
                  <w:rFonts w:asciiTheme="majorHAnsi" w:hAnsiTheme="majorHAnsi" w:cstheme="majorHAnsi"/>
                  <w14:shadow w14:blurRad="63500" w14:dist="50800" w14:dir="1140000" w14:sx="0" w14:sy="0" w14:kx="0" w14:ky="0" w14:algn="none">
                    <w14:srgbClr w14:val="000000">
                      <w14:alpha w14:val="50000"/>
                    </w14:srgbClr>
                  </w14:shadow>
                </w:rPr>
                <w:t>reclami@bancaifis.it</w:t>
              </w:r>
            </w:hyperlink>
            <w:r w:rsidRPr="00173D0B">
              <w:rPr>
                <w:rStyle w:val="Collegamentoipertestuale"/>
                <w:rFonts w:asciiTheme="majorHAnsi" w:hAnsiTheme="majorHAnsi" w:cstheme="majorHAnsi"/>
                <w14:shadow w14:blurRad="63500" w14:dist="50800" w14:dir="1140000" w14:sx="0" w14:sy="0" w14:kx="0" w14:ky="0" w14:algn="none">
                  <w14:srgbClr w14:val="000000">
                    <w14:alpha w14:val="50000"/>
                  </w14:srgbClr>
                </w14:shadow>
              </w:rPr>
              <w:t xml:space="preserve"> - </w:t>
            </w:r>
            <w:r w:rsidRPr="00173D0B">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t xml:space="preserve">Posta certificata (PEC): </w:t>
            </w:r>
            <w:hyperlink r:id="rId13" w:history="1">
              <w:r w:rsidRPr="00173D0B">
                <w:rPr>
                  <w:rStyle w:val="Collegamentoipertestuale"/>
                  <w:rFonts w:asciiTheme="majorHAnsi" w:hAnsiTheme="majorHAnsi" w:cstheme="majorHAnsi"/>
                  <w14:shadow w14:blurRad="63500" w14:dist="50800" w14:dir="1140000" w14:sx="0" w14:sy="0" w14:kx="0" w14:ky="0" w14:algn="none">
                    <w14:srgbClr w14:val="000000">
                      <w14:alpha w14:val="50000"/>
                    </w14:srgbClr>
                  </w14:shadow>
                </w:rPr>
                <w:t>reclami.pec@bancaifis.legalmail.it</w:t>
              </w:r>
            </w:hyperlink>
          </w:p>
          <w:p w14:paraId="24EA06C5" w14:textId="77777777" w:rsidR="00D234FB" w:rsidRPr="003F742A" w:rsidRDefault="00D234FB" w:rsidP="00D234FB">
            <w:pPr>
              <w:pStyle w:val="Paragrafoelenco"/>
              <w:numPr>
                <w:ilvl w:val="0"/>
                <w:numId w:val="2"/>
              </w:numPr>
              <w:tabs>
                <w:tab w:val="left" w:pos="6400"/>
              </w:tabs>
              <w:spacing w:before="0" w:after="0"/>
              <w:jc w:val="both"/>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pPr>
            <w:r w:rsidRPr="003F742A">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t>Fax: +39 0415027577</w:t>
            </w:r>
          </w:p>
        </w:tc>
      </w:tr>
      <w:tr w:rsidR="00D234FB" w:rsidRPr="003F742A" w14:paraId="3709D827" w14:textId="77777777" w:rsidTr="00746755">
        <w:tc>
          <w:tcPr>
            <w:tcW w:w="10188" w:type="dxa"/>
            <w:shd w:val="clear" w:color="auto" w:fill="D9D9D9" w:themeFill="background1" w:themeFillShade="D9"/>
          </w:tcPr>
          <w:p w14:paraId="7A94BC54" w14:textId="77777777" w:rsidR="00D234FB" w:rsidRPr="003F742A" w:rsidRDefault="00D234FB" w:rsidP="00746755">
            <w:pPr>
              <w:tabs>
                <w:tab w:val="left" w:pos="6400"/>
              </w:tabs>
              <w:jc w:val="cente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eastAsia="Times New Roman" w:hAnsiTheme="majorHAnsi" w:cstheme="majorHAnsi"/>
                <w:b/>
                <w:color w:val="365F91" w:themeColor="accent1" w:themeShade="BF"/>
                <w:kern w:val="20"/>
                <w:sz w:val="20"/>
                <w:szCs w:val="20"/>
                <w:lang w:eastAsia="en-US"/>
              </w:rPr>
              <w:t>ALTRE INFORMAZIONI RILEVANTI</w:t>
            </w:r>
          </w:p>
        </w:tc>
      </w:tr>
      <w:tr w:rsidR="00D234FB" w:rsidRPr="003F742A" w14:paraId="5B7ED480" w14:textId="77777777" w:rsidTr="00746755">
        <w:tc>
          <w:tcPr>
            <w:tcW w:w="10188" w:type="dxa"/>
            <w:shd w:val="clear" w:color="auto" w:fill="auto"/>
          </w:tcPr>
          <w:p w14:paraId="3B19BF7B" w14:textId="77777777" w:rsidR="00164806" w:rsidRDefault="00025A40" w:rsidP="00164806">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Ulteriori informazioni sul prodotto sono disponibili su richiesta. La versione aggiornata del KID è disponibile sul sito</w:t>
            </w:r>
            <w:r w:rsid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 </w:t>
            </w:r>
            <w:hyperlink r:id="rId14" w:history="1">
              <w:r w:rsidR="00164806" w:rsidRPr="00D46250">
                <w:rPr>
                  <w:rStyle w:val="Collegamentoipertestuale"/>
                  <w:rFonts w:asciiTheme="majorHAnsi" w:hAnsiTheme="majorHAnsi" w:cstheme="majorHAnsi"/>
                  <w:sz w:val="20"/>
                  <w:szCs w:val="20"/>
                  <w14:shadow w14:blurRad="63500" w14:dist="50800" w14:dir="1140000" w14:sx="0" w14:sy="0" w14:kx="0" w14:ky="0" w14:algn="none">
                    <w14:srgbClr w14:val="000000">
                      <w14:alpha w14:val="50000"/>
                    </w14:srgbClr>
                  </w14:shadow>
                </w:rPr>
                <w:t>www.bancaifis.it</w:t>
              </w:r>
            </w:hyperlink>
            <w:r w:rsid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w:t>
            </w:r>
          </w:p>
          <w:p w14:paraId="0FB630E7" w14:textId="10A1E9AC" w:rsidR="00D234FB" w:rsidRPr="00164806" w:rsidRDefault="00025A40" w:rsidP="00164806">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Informazioni specifiche relative a questo prodotto sono contenute nella “Scheda Prodotto”, che Vi deve essere consegnata da Banca IFIS prima della sottoscrizione di ogni nuova operazione. Ulteriori informazioni sui prodotti sono contenute nel “Documento Informativo” che Vi deve essere consegnato da Banca IFIS ed è disponibile sul sito </w:t>
            </w:r>
            <w:hyperlink r:id="rId15" w:history="1">
              <w:r w:rsidR="00164806" w:rsidRPr="00D46250">
                <w:rPr>
                  <w:rStyle w:val="Collegamentoipertestuale"/>
                  <w:rFonts w:asciiTheme="majorHAnsi" w:hAnsiTheme="majorHAnsi" w:cstheme="majorHAnsi"/>
                  <w:sz w:val="20"/>
                  <w:szCs w:val="20"/>
                  <w14:shadow w14:blurRad="63500" w14:dist="50800" w14:dir="1140000" w14:sx="0" w14:sy="0" w14:kx="0" w14:ky="0" w14:algn="none">
                    <w14:srgbClr w14:val="000000">
                      <w14:alpha w14:val="50000"/>
                    </w14:srgbClr>
                  </w14:shadow>
                </w:rPr>
                <w:t>www.bancaifis.it</w:t>
              </w:r>
            </w:hyperlink>
            <w:r w:rsid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w:t>
            </w:r>
          </w:p>
        </w:tc>
      </w:tr>
    </w:tbl>
    <w:p w14:paraId="1200CE48" w14:textId="77777777" w:rsidR="00F05626" w:rsidRPr="00D234FB" w:rsidRDefault="00F05626" w:rsidP="00C63119">
      <w:pPr>
        <w:tabs>
          <w:tab w:val="left" w:pos="6400"/>
        </w:tabs>
      </w:pPr>
    </w:p>
    <w:sectPr w:rsidR="00F05626" w:rsidRPr="00D234FB" w:rsidSect="00DF04CF">
      <w:headerReference w:type="default" r:id="rId16"/>
      <w:footerReference w:type="default" r:id="rId17"/>
      <w:headerReference w:type="first" r:id="rId18"/>
      <w:footerReference w:type="first" r:id="rId19"/>
      <w:pgSz w:w="11900" w:h="16840"/>
      <w:pgMar w:top="1702" w:right="851" w:bottom="2268" w:left="851" w:header="851" w:footer="138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3200F" w14:textId="77777777" w:rsidR="002013BB" w:rsidRDefault="002013BB" w:rsidP="00224DD8">
      <w:r>
        <w:separator/>
      </w:r>
    </w:p>
  </w:endnote>
  <w:endnote w:type="continuationSeparator" w:id="0">
    <w:p w14:paraId="7B645385" w14:textId="77777777" w:rsidR="002013BB" w:rsidRDefault="002013BB" w:rsidP="00224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04C30" w14:textId="55C0ACBB" w:rsidR="008052D5" w:rsidRPr="00E26618" w:rsidRDefault="004021D8" w:rsidP="00E26618">
    <w:pPr>
      <w:pStyle w:val="Pidipagina"/>
      <w:ind w:left="8496" w:firstLine="1142"/>
      <w:rPr>
        <w:rFonts w:asciiTheme="majorHAnsi" w:hAnsiTheme="majorHAnsi" w:cstheme="majorHAnsi"/>
        <w:sz w:val="20"/>
        <w:szCs w:val="20"/>
      </w:rPr>
    </w:pPr>
    <w:r w:rsidRPr="00E26618">
      <w:rPr>
        <w:rFonts w:asciiTheme="majorHAnsi" w:hAnsiTheme="majorHAnsi" w:cstheme="majorHAnsi"/>
        <w:noProof/>
        <w:sz w:val="20"/>
        <w:szCs w:val="20"/>
      </w:rPr>
      <w:drawing>
        <wp:anchor distT="0" distB="0" distL="114300" distR="114300" simplePos="0" relativeHeight="251666944" behindDoc="1" locked="1" layoutInCell="1" allowOverlap="1" wp14:anchorId="193EAF45" wp14:editId="14D6BB5E">
          <wp:simplePos x="0" y="0"/>
          <wp:positionH relativeFrom="page">
            <wp:posOffset>6109335</wp:posOffset>
          </wp:positionH>
          <wp:positionV relativeFrom="page">
            <wp:posOffset>10060940</wp:posOffset>
          </wp:positionV>
          <wp:extent cx="1522730" cy="654050"/>
          <wp:effectExtent l="0" t="0" r="0" b="0"/>
          <wp:wrapNone/>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testata-A4-Pharma-logo-gruppo.png"/>
                  <pic:cNvPicPr/>
                </pic:nvPicPr>
                <pic:blipFill>
                  <a:blip r:embed="rId1">
                    <a:extLst>
                      <a:ext uri="{28A0092B-C50C-407E-A947-70E740481C1C}">
                        <a14:useLocalDpi xmlns:a14="http://schemas.microsoft.com/office/drawing/2010/main" val="0"/>
                      </a:ext>
                    </a:extLst>
                  </a:blip>
                  <a:stretch>
                    <a:fillRect/>
                  </a:stretch>
                </pic:blipFill>
                <pic:spPr>
                  <a:xfrm>
                    <a:off x="0" y="0"/>
                    <a:ext cx="1522730" cy="65405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26618">
      <w:rPr>
        <w:rFonts w:asciiTheme="majorHAnsi" w:hAnsiTheme="majorHAnsi" w:cstheme="majorHAnsi"/>
        <w:noProof/>
        <w:sz w:val="20"/>
        <w:szCs w:val="20"/>
      </w:rPr>
      <w:drawing>
        <wp:anchor distT="0" distB="0" distL="114300" distR="114300" simplePos="0" relativeHeight="251663872" behindDoc="1" locked="1" layoutInCell="1" allowOverlap="1" wp14:anchorId="0CDEBBB3" wp14:editId="57D37E7E">
          <wp:simplePos x="0" y="0"/>
          <wp:positionH relativeFrom="page">
            <wp:posOffset>-64770</wp:posOffset>
          </wp:positionH>
          <wp:positionV relativeFrom="page">
            <wp:posOffset>10059035</wp:posOffset>
          </wp:positionV>
          <wp:extent cx="2444115" cy="638810"/>
          <wp:effectExtent l="0" t="0" r="0" b="0"/>
          <wp:wrapNone/>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testata-A4-Pharma-dati.png"/>
                  <pic:cNvPicPr/>
                </pic:nvPicPr>
                <pic:blipFill>
                  <a:blip r:embed="rId2">
                    <a:extLst>
                      <a:ext uri="{28A0092B-C50C-407E-A947-70E740481C1C}">
                        <a14:useLocalDpi xmlns:a14="http://schemas.microsoft.com/office/drawing/2010/main" val="0"/>
                      </a:ext>
                    </a:extLst>
                  </a:blip>
                  <a:stretch>
                    <a:fillRect/>
                  </a:stretch>
                </pic:blipFill>
                <pic:spPr>
                  <a:xfrm>
                    <a:off x="0" y="0"/>
                    <a:ext cx="2444115" cy="63881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E26618">
      <w:rPr>
        <w:rFonts w:asciiTheme="majorHAnsi" w:hAnsiTheme="majorHAnsi" w:cstheme="majorHAnsi"/>
        <w:sz w:val="20"/>
        <w:szCs w:val="20"/>
      </w:rPr>
      <w:t>-</w:t>
    </w:r>
    <w:r w:rsidR="00E26618" w:rsidRPr="00E26618">
      <w:rPr>
        <w:rFonts w:asciiTheme="majorHAnsi" w:hAnsiTheme="majorHAnsi" w:cstheme="majorHAnsi"/>
        <w:sz w:val="20"/>
        <w:szCs w:val="20"/>
      </w:rPr>
      <w:t xml:space="preserve"> </w:t>
    </w:r>
    <w:r w:rsidR="00E26618" w:rsidRPr="00E26618">
      <w:rPr>
        <w:rFonts w:asciiTheme="majorHAnsi" w:hAnsiTheme="majorHAnsi" w:cstheme="majorHAnsi"/>
        <w:sz w:val="20"/>
        <w:szCs w:val="20"/>
      </w:rPr>
      <w:fldChar w:fldCharType="begin"/>
    </w:r>
    <w:r w:rsidR="00E26618" w:rsidRPr="00E26618">
      <w:rPr>
        <w:rFonts w:asciiTheme="majorHAnsi" w:hAnsiTheme="majorHAnsi" w:cstheme="majorHAnsi"/>
        <w:sz w:val="20"/>
        <w:szCs w:val="20"/>
      </w:rPr>
      <w:instrText>PAGE   \* MERGEFORMAT</w:instrText>
    </w:r>
    <w:r w:rsidR="00E26618" w:rsidRPr="00E26618">
      <w:rPr>
        <w:rFonts w:asciiTheme="majorHAnsi" w:hAnsiTheme="majorHAnsi" w:cstheme="majorHAnsi"/>
        <w:sz w:val="20"/>
        <w:szCs w:val="20"/>
      </w:rPr>
      <w:fldChar w:fldCharType="separate"/>
    </w:r>
    <w:r w:rsidR="00DF04CF">
      <w:rPr>
        <w:rFonts w:asciiTheme="majorHAnsi" w:hAnsiTheme="majorHAnsi" w:cstheme="majorHAnsi"/>
        <w:noProof/>
        <w:sz w:val="20"/>
        <w:szCs w:val="20"/>
      </w:rPr>
      <w:t>3</w:t>
    </w:r>
    <w:r w:rsidR="00E26618" w:rsidRPr="00E26618">
      <w:rPr>
        <w:rFonts w:asciiTheme="majorHAnsi" w:hAnsiTheme="majorHAnsi" w:cstheme="majorHAnsi"/>
        <w:sz w:val="20"/>
        <w:szCs w:val="20"/>
      </w:rPr>
      <w:fldChar w:fldCharType="end"/>
    </w:r>
    <w:r w:rsidR="00E26618">
      <w:rPr>
        <w:rFonts w:asciiTheme="majorHAnsi" w:hAnsiTheme="majorHAnsi" w:cstheme="majorHAnsi"/>
        <w:sz w:val="20"/>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DD03A" w14:textId="1A0379CF" w:rsidR="002259D4" w:rsidRPr="00E26618" w:rsidRDefault="004021D8" w:rsidP="00E26618">
    <w:pPr>
      <w:pStyle w:val="Pidipagina"/>
      <w:ind w:left="7788" w:firstLine="1416"/>
      <w:jc w:val="center"/>
      <w:rPr>
        <w:rFonts w:ascii="Calibri" w:hAnsi="Calibri" w:cs="Calibri"/>
        <w:sz w:val="20"/>
        <w:szCs w:val="20"/>
      </w:rPr>
    </w:pPr>
    <w:r w:rsidRPr="00E26618">
      <w:rPr>
        <w:rFonts w:ascii="Calibri" w:hAnsi="Calibri" w:cs="Calibri"/>
        <w:noProof/>
        <w:sz w:val="20"/>
        <w:szCs w:val="20"/>
      </w:rPr>
      <w:drawing>
        <wp:anchor distT="0" distB="0" distL="114300" distR="114300" simplePos="0" relativeHeight="251657728" behindDoc="1" locked="1" layoutInCell="1" allowOverlap="1" wp14:anchorId="0507D635" wp14:editId="18B16461">
          <wp:simplePos x="0" y="0"/>
          <wp:positionH relativeFrom="page">
            <wp:align>left</wp:align>
          </wp:positionH>
          <wp:positionV relativeFrom="page">
            <wp:posOffset>9206230</wp:posOffset>
          </wp:positionV>
          <wp:extent cx="4845685" cy="1463040"/>
          <wp:effectExtent l="0" t="0" r="0" b="0"/>
          <wp:wrapNone/>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testata-A4-Pharma-dati.png"/>
                  <pic:cNvPicPr/>
                </pic:nvPicPr>
                <pic:blipFill>
                  <a:blip r:embed="rId1">
                    <a:extLst>
                      <a:ext uri="{28A0092B-C50C-407E-A947-70E740481C1C}">
                        <a14:useLocalDpi xmlns:a14="http://schemas.microsoft.com/office/drawing/2010/main" val="0"/>
                      </a:ext>
                    </a:extLst>
                  </a:blip>
                  <a:stretch>
                    <a:fillRect/>
                  </a:stretch>
                </pic:blipFill>
                <pic:spPr>
                  <a:xfrm>
                    <a:off x="0" y="0"/>
                    <a:ext cx="4845685" cy="146304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E26618">
      <w:rPr>
        <w:rFonts w:ascii="Calibri" w:hAnsi="Calibri" w:cs="Calibri"/>
        <w:sz w:val="20"/>
        <w:szCs w:val="20"/>
      </w:rPr>
      <w:t>-</w:t>
    </w:r>
    <w:r w:rsidR="00E26618" w:rsidRPr="00E26618">
      <w:rPr>
        <w:rFonts w:ascii="Calibri" w:hAnsi="Calibri" w:cs="Calibri"/>
        <w:sz w:val="20"/>
        <w:szCs w:val="20"/>
      </w:rPr>
      <w:t xml:space="preserve"> </w:t>
    </w:r>
    <w:r w:rsidR="00E26618" w:rsidRPr="00E26618">
      <w:rPr>
        <w:rFonts w:ascii="Calibri" w:hAnsi="Calibri" w:cs="Calibri"/>
        <w:sz w:val="20"/>
        <w:szCs w:val="20"/>
      </w:rPr>
      <w:fldChar w:fldCharType="begin"/>
    </w:r>
    <w:r w:rsidR="00E26618" w:rsidRPr="00E26618">
      <w:rPr>
        <w:rFonts w:ascii="Calibri" w:hAnsi="Calibri" w:cs="Calibri"/>
        <w:sz w:val="20"/>
        <w:szCs w:val="20"/>
      </w:rPr>
      <w:instrText>PAGE   \* MERGEFORMAT</w:instrText>
    </w:r>
    <w:r w:rsidR="00E26618" w:rsidRPr="00E26618">
      <w:rPr>
        <w:rFonts w:ascii="Calibri" w:hAnsi="Calibri" w:cs="Calibri"/>
        <w:sz w:val="20"/>
        <w:szCs w:val="20"/>
      </w:rPr>
      <w:fldChar w:fldCharType="separate"/>
    </w:r>
    <w:r w:rsidR="00DF04CF">
      <w:rPr>
        <w:rFonts w:ascii="Calibri" w:hAnsi="Calibri" w:cs="Calibri"/>
        <w:noProof/>
        <w:sz w:val="20"/>
        <w:szCs w:val="20"/>
      </w:rPr>
      <w:t>1</w:t>
    </w:r>
    <w:r w:rsidR="00E26618" w:rsidRPr="00E26618">
      <w:rPr>
        <w:rFonts w:ascii="Calibri" w:hAnsi="Calibri" w:cs="Calibri"/>
        <w:sz w:val="20"/>
        <w:szCs w:val="20"/>
      </w:rPr>
      <w:fldChar w:fldCharType="end"/>
    </w:r>
    <w:r w:rsidR="00E26618">
      <w:rPr>
        <w:rFonts w:ascii="Calibri" w:hAnsi="Calibri" w:cs="Calibri"/>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A7C7C" w14:textId="77777777" w:rsidR="002013BB" w:rsidRDefault="002013BB" w:rsidP="00224DD8">
      <w:r>
        <w:separator/>
      </w:r>
    </w:p>
  </w:footnote>
  <w:footnote w:type="continuationSeparator" w:id="0">
    <w:p w14:paraId="518222E8" w14:textId="77777777" w:rsidR="002013BB" w:rsidRDefault="002013BB" w:rsidP="00224DD8">
      <w:r>
        <w:continuationSeparator/>
      </w:r>
    </w:p>
  </w:footnote>
  <w:footnote w:id="1">
    <w:p w14:paraId="6864AEC2" w14:textId="77777777" w:rsidR="00D234FB" w:rsidRDefault="00D234FB" w:rsidP="00D234FB">
      <w:pPr>
        <w:pStyle w:val="Testonotaapidipagina"/>
        <w:jc w:val="both"/>
      </w:pPr>
      <w:r w:rsidRPr="008B0971">
        <w:rPr>
          <w:rStyle w:val="Rimandonotaapidipagina"/>
          <w:sz w:val="16"/>
        </w:rPr>
        <w:footnoteRef/>
      </w:r>
      <w:r w:rsidRPr="008B0971">
        <w:rPr>
          <w:sz w:val="16"/>
        </w:rPr>
        <w:t xml:space="preserve"> </w:t>
      </w:r>
      <w:r w:rsidRPr="008B0971">
        <w:rPr>
          <w:rFonts w:asciiTheme="majorHAnsi" w:hAnsiTheme="majorHAnsi" w:cstheme="majorHAnsi"/>
          <w:sz w:val="16"/>
        </w:rPr>
        <w:t>Il prodotto in questione non prevede un investimento iniziale da parte del Cliente. Pertanto i calcoli sugli scenari di performance sono basati sul valore dell’Importo Nozionale (Capitale di Riferimento) indicato in contratto, ipotizzando variazioni sfavorevoli, neutre e favorevoli dell'attività di riferimento sottostante: EUR/DOLLARO.</w:t>
      </w:r>
    </w:p>
  </w:footnote>
  <w:footnote w:id="2">
    <w:p w14:paraId="79913A4A" w14:textId="77777777" w:rsidR="00D234FB" w:rsidRDefault="00D234FB" w:rsidP="00D234FB">
      <w:pPr>
        <w:pStyle w:val="Testonotaapidipagina"/>
      </w:pPr>
      <w:r w:rsidRPr="006C45B5">
        <w:rPr>
          <w:rStyle w:val="Rimandonotaapidipagina"/>
          <w:sz w:val="16"/>
        </w:rPr>
        <w:footnoteRef/>
      </w:r>
      <w:r w:rsidRPr="006C45B5">
        <w:rPr>
          <w:sz w:val="16"/>
        </w:rPr>
        <w:t xml:space="preserve"> </w:t>
      </w:r>
      <w:r w:rsidRPr="006C45B5">
        <w:rPr>
          <w:rFonts w:asciiTheme="majorHAnsi" w:hAnsiTheme="majorHAnsi" w:cstheme="majorHAnsi"/>
          <w:sz w:val="16"/>
        </w:rPr>
        <w:t>Il prodotto in questione non prevede un investimento iniziale da parte del Cliente. Pertanto i calcoli sui costi sono basati su un valore teorico di Capitale di Riferimento.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0DD63" w14:textId="77777777" w:rsidR="008052D5" w:rsidRDefault="008052D5">
    <w:pPr>
      <w:pStyle w:val="Intestazione"/>
    </w:pPr>
    <w:r>
      <w:rPr>
        <w:noProof/>
      </w:rPr>
      <w:drawing>
        <wp:anchor distT="0" distB="0" distL="114300" distR="114300" simplePos="0" relativeHeight="251648512" behindDoc="1" locked="1" layoutInCell="1" allowOverlap="1" wp14:anchorId="18C4A3B5" wp14:editId="4AC90D60">
          <wp:simplePos x="0" y="0"/>
          <wp:positionH relativeFrom="page">
            <wp:align>right</wp:align>
          </wp:positionH>
          <wp:positionV relativeFrom="page">
            <wp:align>top</wp:align>
          </wp:positionV>
          <wp:extent cx="795020" cy="1765300"/>
          <wp:effectExtent l="0" t="0" r="0" b="0"/>
          <wp:wrapNone/>
          <wp:docPr id="31"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testata-A4-Pharma-grafica.png"/>
                  <pic:cNvPicPr/>
                </pic:nvPicPr>
                <pic:blipFill>
                  <a:blip r:embed="rId1">
                    <a:extLst>
                      <a:ext uri="{28A0092B-C50C-407E-A947-70E740481C1C}">
                        <a14:useLocalDpi xmlns:a14="http://schemas.microsoft.com/office/drawing/2010/main" val="0"/>
                      </a:ext>
                    </a:extLst>
                  </a:blip>
                  <a:stretch>
                    <a:fillRect/>
                  </a:stretch>
                </pic:blipFill>
                <pic:spPr>
                  <a:xfrm>
                    <a:off x="0" y="0"/>
                    <a:ext cx="795600" cy="1764951"/>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4021D8">
      <w:rPr>
        <w:noProof/>
      </w:rPr>
      <w:drawing>
        <wp:anchor distT="0" distB="0" distL="114300" distR="114300" simplePos="0" relativeHeight="251660800" behindDoc="1" locked="1" layoutInCell="1" allowOverlap="1" wp14:anchorId="1E1305AD" wp14:editId="5ACD839B">
          <wp:simplePos x="0" y="0"/>
          <wp:positionH relativeFrom="page">
            <wp:posOffset>-64770</wp:posOffset>
          </wp:positionH>
          <wp:positionV relativeFrom="page">
            <wp:posOffset>0</wp:posOffset>
          </wp:positionV>
          <wp:extent cx="1485265" cy="1094105"/>
          <wp:effectExtent l="0" t="0" r="0" b="0"/>
          <wp:wrapNone/>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testata-A4-Pharma-logo.png"/>
                  <pic:cNvPicPr/>
                </pic:nvPicPr>
                <pic:blipFill>
                  <a:blip r:embed="rId2">
                    <a:extLst>
                      <a:ext uri="{28A0092B-C50C-407E-A947-70E740481C1C}">
                        <a14:useLocalDpi xmlns:a14="http://schemas.microsoft.com/office/drawing/2010/main" val="0"/>
                      </a:ext>
                    </a:extLst>
                  </a:blip>
                  <a:stretch>
                    <a:fillRect/>
                  </a:stretch>
                </pic:blipFill>
                <pic:spPr>
                  <a:xfrm>
                    <a:off x="0" y="0"/>
                    <a:ext cx="1485265" cy="109410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2A408" w14:textId="77777777" w:rsidR="002259D4" w:rsidRDefault="002259D4">
    <w:pPr>
      <w:pStyle w:val="Intestazione"/>
    </w:pPr>
    <w:r>
      <w:rPr>
        <w:noProof/>
      </w:rPr>
      <w:drawing>
        <wp:anchor distT="0" distB="0" distL="114300" distR="114300" simplePos="0" relativeHeight="251651584" behindDoc="1" locked="1" layoutInCell="1" allowOverlap="1" wp14:anchorId="67A89804" wp14:editId="49DCAF0A">
          <wp:simplePos x="0" y="0"/>
          <wp:positionH relativeFrom="page">
            <wp:align>right</wp:align>
          </wp:positionH>
          <wp:positionV relativeFrom="page">
            <wp:align>top</wp:align>
          </wp:positionV>
          <wp:extent cx="795020" cy="1765300"/>
          <wp:effectExtent l="0" t="0" r="0" b="12700"/>
          <wp:wrapNone/>
          <wp:docPr id="42"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testata-A4-Pharma-grafica.png"/>
                  <pic:cNvPicPr/>
                </pic:nvPicPr>
                <pic:blipFill>
                  <a:blip r:embed="rId1">
                    <a:extLst>
                      <a:ext uri="{28A0092B-C50C-407E-A947-70E740481C1C}">
                        <a14:useLocalDpi xmlns:a14="http://schemas.microsoft.com/office/drawing/2010/main" val="0"/>
                      </a:ext>
                    </a:extLst>
                  </a:blip>
                  <a:stretch>
                    <a:fillRect/>
                  </a:stretch>
                </pic:blipFill>
                <pic:spPr>
                  <a:xfrm>
                    <a:off x="0" y="0"/>
                    <a:ext cx="795020" cy="17653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4021D8">
      <w:rPr>
        <w:noProof/>
      </w:rPr>
      <w:drawing>
        <wp:anchor distT="0" distB="0" distL="114300" distR="114300" simplePos="0" relativeHeight="251654656" behindDoc="1" locked="1" layoutInCell="1" allowOverlap="1" wp14:anchorId="3233E774" wp14:editId="0C43184C">
          <wp:simplePos x="0" y="0"/>
          <wp:positionH relativeFrom="page">
            <wp:posOffset>-64770</wp:posOffset>
          </wp:positionH>
          <wp:positionV relativeFrom="page">
            <wp:posOffset>0</wp:posOffset>
          </wp:positionV>
          <wp:extent cx="1636395" cy="1145540"/>
          <wp:effectExtent l="0" t="0" r="0" b="0"/>
          <wp:wrapNone/>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testata-A4-Pharma-logo.png"/>
                  <pic:cNvPicPr/>
                </pic:nvPicPr>
                <pic:blipFill>
                  <a:blip r:embed="rId2">
                    <a:extLst>
                      <a:ext uri="{28A0092B-C50C-407E-A947-70E740481C1C}">
                        <a14:useLocalDpi xmlns:a14="http://schemas.microsoft.com/office/drawing/2010/main" val="0"/>
                      </a:ext>
                    </a:extLst>
                  </a:blip>
                  <a:stretch>
                    <a:fillRect/>
                  </a:stretch>
                </pic:blipFill>
                <pic:spPr>
                  <a:xfrm>
                    <a:off x="0" y="0"/>
                    <a:ext cx="1636395" cy="114554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B0DDA"/>
    <w:multiLevelType w:val="hybridMultilevel"/>
    <w:tmpl w:val="41C8FD8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B52330"/>
    <w:multiLevelType w:val="hybridMultilevel"/>
    <w:tmpl w:val="027CD1FE"/>
    <w:lvl w:ilvl="0" w:tplc="18643798">
      <w:start w:val="1"/>
      <w:numFmt w:val="bullet"/>
      <w:pStyle w:val="Paragrafoelenco"/>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B761421"/>
    <w:multiLevelType w:val="hybridMultilevel"/>
    <w:tmpl w:val="B4466D5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24A0C90"/>
    <w:multiLevelType w:val="hybridMultilevel"/>
    <w:tmpl w:val="2D8478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5D965B6"/>
    <w:multiLevelType w:val="hybridMultilevel"/>
    <w:tmpl w:val="6C8A76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9C25E7A"/>
    <w:multiLevelType w:val="hybridMultilevel"/>
    <w:tmpl w:val="07FA4648"/>
    <w:lvl w:ilvl="0" w:tplc="8A3C9D60">
      <w:numFmt w:val="bullet"/>
      <w:lvlText w:val="-"/>
      <w:lvlJc w:val="left"/>
      <w:pPr>
        <w:ind w:left="720" w:hanging="360"/>
      </w:pPr>
      <w:rPr>
        <w:rFonts w:ascii="Calibri" w:eastAsiaTheme="minorEastAsia" w:hAnsi="Calibri" w:cstheme="maj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499"/>
    <w:rsid w:val="000009DD"/>
    <w:rsid w:val="00003ECD"/>
    <w:rsid w:val="00025A40"/>
    <w:rsid w:val="00031963"/>
    <w:rsid w:val="00036D39"/>
    <w:rsid w:val="000748B5"/>
    <w:rsid w:val="000918EB"/>
    <w:rsid w:val="00093ADD"/>
    <w:rsid w:val="00102343"/>
    <w:rsid w:val="0010671D"/>
    <w:rsid w:val="001122AE"/>
    <w:rsid w:val="00133948"/>
    <w:rsid w:val="00140DCA"/>
    <w:rsid w:val="00142BAF"/>
    <w:rsid w:val="00164806"/>
    <w:rsid w:val="00171E0C"/>
    <w:rsid w:val="001B125A"/>
    <w:rsid w:val="002013BB"/>
    <w:rsid w:val="00201499"/>
    <w:rsid w:val="00202F6E"/>
    <w:rsid w:val="00213B45"/>
    <w:rsid w:val="00223ADB"/>
    <w:rsid w:val="00223C0C"/>
    <w:rsid w:val="00224DD8"/>
    <w:rsid w:val="002259D4"/>
    <w:rsid w:val="00235E07"/>
    <w:rsid w:val="00241B2B"/>
    <w:rsid w:val="002B2E0A"/>
    <w:rsid w:val="002B2EC8"/>
    <w:rsid w:val="002E1F57"/>
    <w:rsid w:val="002E5AB2"/>
    <w:rsid w:val="002E7E31"/>
    <w:rsid w:val="002F5D7C"/>
    <w:rsid w:val="003128D8"/>
    <w:rsid w:val="003437DE"/>
    <w:rsid w:val="00352CDB"/>
    <w:rsid w:val="003805FD"/>
    <w:rsid w:val="00390038"/>
    <w:rsid w:val="003E1EB2"/>
    <w:rsid w:val="003F7315"/>
    <w:rsid w:val="004021D8"/>
    <w:rsid w:val="004066F1"/>
    <w:rsid w:val="00411711"/>
    <w:rsid w:val="004342A9"/>
    <w:rsid w:val="004529E1"/>
    <w:rsid w:val="004577E4"/>
    <w:rsid w:val="00460B7E"/>
    <w:rsid w:val="00475794"/>
    <w:rsid w:val="00497D70"/>
    <w:rsid w:val="004D4166"/>
    <w:rsid w:val="004F1B09"/>
    <w:rsid w:val="004F5C71"/>
    <w:rsid w:val="00513EC2"/>
    <w:rsid w:val="00527B07"/>
    <w:rsid w:val="00527C01"/>
    <w:rsid w:val="00534D7C"/>
    <w:rsid w:val="00572246"/>
    <w:rsid w:val="00573A2D"/>
    <w:rsid w:val="00577344"/>
    <w:rsid w:val="005828F4"/>
    <w:rsid w:val="00583589"/>
    <w:rsid w:val="00584DC8"/>
    <w:rsid w:val="00594119"/>
    <w:rsid w:val="005E1A24"/>
    <w:rsid w:val="005F05E1"/>
    <w:rsid w:val="00616340"/>
    <w:rsid w:val="006227FD"/>
    <w:rsid w:val="006362E4"/>
    <w:rsid w:val="0064524A"/>
    <w:rsid w:val="0064716F"/>
    <w:rsid w:val="0065000C"/>
    <w:rsid w:val="00664CD6"/>
    <w:rsid w:val="00672774"/>
    <w:rsid w:val="00673170"/>
    <w:rsid w:val="00681CBE"/>
    <w:rsid w:val="006A45B2"/>
    <w:rsid w:val="006B3393"/>
    <w:rsid w:val="006D10DB"/>
    <w:rsid w:val="006E7AAF"/>
    <w:rsid w:val="00712B09"/>
    <w:rsid w:val="00712B0F"/>
    <w:rsid w:val="007215B8"/>
    <w:rsid w:val="00725B10"/>
    <w:rsid w:val="0072662B"/>
    <w:rsid w:val="007303FE"/>
    <w:rsid w:val="007812E1"/>
    <w:rsid w:val="00790268"/>
    <w:rsid w:val="007E75BC"/>
    <w:rsid w:val="008052D5"/>
    <w:rsid w:val="00815152"/>
    <w:rsid w:val="00826D21"/>
    <w:rsid w:val="00832097"/>
    <w:rsid w:val="0085141F"/>
    <w:rsid w:val="0086543F"/>
    <w:rsid w:val="00882D20"/>
    <w:rsid w:val="008834A8"/>
    <w:rsid w:val="008A5D22"/>
    <w:rsid w:val="008B6D40"/>
    <w:rsid w:val="008B7F74"/>
    <w:rsid w:val="008C4378"/>
    <w:rsid w:val="008D6444"/>
    <w:rsid w:val="008E211A"/>
    <w:rsid w:val="008F08E9"/>
    <w:rsid w:val="00917402"/>
    <w:rsid w:val="00923241"/>
    <w:rsid w:val="009240A6"/>
    <w:rsid w:val="0093281D"/>
    <w:rsid w:val="0093431F"/>
    <w:rsid w:val="00943250"/>
    <w:rsid w:val="00956A94"/>
    <w:rsid w:val="00960461"/>
    <w:rsid w:val="00972179"/>
    <w:rsid w:val="00973192"/>
    <w:rsid w:val="00973757"/>
    <w:rsid w:val="00992892"/>
    <w:rsid w:val="009A4D72"/>
    <w:rsid w:val="009B75D3"/>
    <w:rsid w:val="009C02F3"/>
    <w:rsid w:val="009D5273"/>
    <w:rsid w:val="009E217A"/>
    <w:rsid w:val="009F13E2"/>
    <w:rsid w:val="009F5D68"/>
    <w:rsid w:val="00A10672"/>
    <w:rsid w:val="00A13F98"/>
    <w:rsid w:val="00A15485"/>
    <w:rsid w:val="00A4736D"/>
    <w:rsid w:val="00A663BD"/>
    <w:rsid w:val="00A715A6"/>
    <w:rsid w:val="00A87D59"/>
    <w:rsid w:val="00AA3237"/>
    <w:rsid w:val="00AD447A"/>
    <w:rsid w:val="00AF2D9A"/>
    <w:rsid w:val="00B011CF"/>
    <w:rsid w:val="00B035C7"/>
    <w:rsid w:val="00B219CC"/>
    <w:rsid w:val="00B32B66"/>
    <w:rsid w:val="00B50914"/>
    <w:rsid w:val="00B52278"/>
    <w:rsid w:val="00B65830"/>
    <w:rsid w:val="00B701D8"/>
    <w:rsid w:val="00B9386A"/>
    <w:rsid w:val="00B96895"/>
    <w:rsid w:val="00BA47BD"/>
    <w:rsid w:val="00BA492C"/>
    <w:rsid w:val="00BB3A98"/>
    <w:rsid w:val="00BE761D"/>
    <w:rsid w:val="00BF474B"/>
    <w:rsid w:val="00C03B9E"/>
    <w:rsid w:val="00C065BA"/>
    <w:rsid w:val="00C32EDF"/>
    <w:rsid w:val="00C477F6"/>
    <w:rsid w:val="00C51D4F"/>
    <w:rsid w:val="00C52613"/>
    <w:rsid w:val="00C622A9"/>
    <w:rsid w:val="00C63119"/>
    <w:rsid w:val="00C7721D"/>
    <w:rsid w:val="00CE06AD"/>
    <w:rsid w:val="00CF4D9B"/>
    <w:rsid w:val="00D20F2F"/>
    <w:rsid w:val="00D234FB"/>
    <w:rsid w:val="00D3067B"/>
    <w:rsid w:val="00D650C2"/>
    <w:rsid w:val="00D90D2D"/>
    <w:rsid w:val="00D92180"/>
    <w:rsid w:val="00DA2616"/>
    <w:rsid w:val="00DC04F7"/>
    <w:rsid w:val="00DC30EB"/>
    <w:rsid w:val="00DC68F6"/>
    <w:rsid w:val="00DC74C7"/>
    <w:rsid w:val="00DD6C7F"/>
    <w:rsid w:val="00DE2DE6"/>
    <w:rsid w:val="00DF04CF"/>
    <w:rsid w:val="00E07C46"/>
    <w:rsid w:val="00E11B76"/>
    <w:rsid w:val="00E26618"/>
    <w:rsid w:val="00E340E9"/>
    <w:rsid w:val="00E40BE0"/>
    <w:rsid w:val="00E47B8F"/>
    <w:rsid w:val="00E5408E"/>
    <w:rsid w:val="00E70E9D"/>
    <w:rsid w:val="00E803C4"/>
    <w:rsid w:val="00E843FF"/>
    <w:rsid w:val="00E9105C"/>
    <w:rsid w:val="00E9247A"/>
    <w:rsid w:val="00ED2C58"/>
    <w:rsid w:val="00EE43A2"/>
    <w:rsid w:val="00EE6F85"/>
    <w:rsid w:val="00F05626"/>
    <w:rsid w:val="00F53E10"/>
    <w:rsid w:val="00F72D79"/>
    <w:rsid w:val="00F81D31"/>
    <w:rsid w:val="00F82170"/>
    <w:rsid w:val="00F93F51"/>
    <w:rsid w:val="00FA2ED1"/>
    <w:rsid w:val="00FD0BA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9"/>
    <o:shapelayout v:ext="edit">
      <o:idmap v:ext="edit" data="1"/>
    </o:shapelayout>
  </w:shapeDefaults>
  <w:decimalSymbol w:val="."/>
  <w:listSeparator w:val=","/>
  <w14:docId w14:val="1AB4E64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6">
    <w:name w:val="heading 6"/>
    <w:basedOn w:val="Normale"/>
    <w:next w:val="Normale"/>
    <w:link w:val="Titolo6Carattere"/>
    <w:qFormat/>
    <w:rsid w:val="00DE2DE6"/>
    <w:pPr>
      <w:keepNext/>
      <w:jc w:val="center"/>
      <w:outlineLvl w:val="5"/>
    </w:pPr>
    <w:rPr>
      <w:rFonts w:ascii="Verdana" w:eastAsia="Times New Roman" w:hAnsi="Verdana" w:cs="Times New Roman"/>
      <w:i/>
      <w:iCs/>
      <w:color w:val="808080"/>
      <w:sz w:val="16"/>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224DD8"/>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224DD8"/>
    <w:rPr>
      <w:rFonts w:ascii="Lucida Grande" w:hAnsi="Lucida Grande" w:cs="Lucida Grande"/>
      <w:sz w:val="18"/>
      <w:szCs w:val="18"/>
    </w:rPr>
  </w:style>
  <w:style w:type="paragraph" w:styleId="Intestazione">
    <w:name w:val="header"/>
    <w:basedOn w:val="Normale"/>
    <w:link w:val="IntestazioneCarattere"/>
    <w:uiPriority w:val="99"/>
    <w:unhideWhenUsed/>
    <w:rsid w:val="00224DD8"/>
    <w:pPr>
      <w:tabs>
        <w:tab w:val="center" w:pos="4819"/>
        <w:tab w:val="right" w:pos="9638"/>
      </w:tabs>
    </w:pPr>
  </w:style>
  <w:style w:type="character" w:customStyle="1" w:styleId="IntestazioneCarattere">
    <w:name w:val="Intestazione Carattere"/>
    <w:basedOn w:val="Carpredefinitoparagrafo"/>
    <w:link w:val="Intestazione"/>
    <w:uiPriority w:val="99"/>
    <w:rsid w:val="00224DD8"/>
  </w:style>
  <w:style w:type="paragraph" w:styleId="Pidipagina">
    <w:name w:val="footer"/>
    <w:basedOn w:val="Normale"/>
    <w:link w:val="PidipaginaCarattere"/>
    <w:uiPriority w:val="99"/>
    <w:unhideWhenUsed/>
    <w:rsid w:val="00224DD8"/>
    <w:pPr>
      <w:tabs>
        <w:tab w:val="center" w:pos="4819"/>
        <w:tab w:val="right" w:pos="9638"/>
      </w:tabs>
    </w:pPr>
  </w:style>
  <w:style w:type="character" w:customStyle="1" w:styleId="PidipaginaCarattere">
    <w:name w:val="Piè di pagina Carattere"/>
    <w:basedOn w:val="Carpredefinitoparagrafo"/>
    <w:link w:val="Pidipagina"/>
    <w:uiPriority w:val="99"/>
    <w:rsid w:val="00224DD8"/>
  </w:style>
  <w:style w:type="character" w:customStyle="1" w:styleId="Titolo6Carattere">
    <w:name w:val="Titolo 6 Carattere"/>
    <w:basedOn w:val="Carpredefinitoparagrafo"/>
    <w:link w:val="Titolo6"/>
    <w:rsid w:val="00DE2DE6"/>
    <w:rPr>
      <w:rFonts w:ascii="Verdana" w:eastAsia="Times New Roman" w:hAnsi="Verdana" w:cs="Times New Roman"/>
      <w:i/>
      <w:iCs/>
      <w:color w:val="808080"/>
      <w:sz w:val="16"/>
      <w:szCs w:val="20"/>
    </w:rPr>
  </w:style>
  <w:style w:type="paragraph" w:customStyle="1" w:styleId="Body">
    <w:name w:val="Body"/>
    <w:basedOn w:val="Normale"/>
    <w:rsid w:val="00DE2DE6"/>
    <w:pPr>
      <w:spacing w:after="140" w:line="290" w:lineRule="auto"/>
      <w:jc w:val="both"/>
    </w:pPr>
    <w:rPr>
      <w:rFonts w:ascii="Arial" w:eastAsia="Times New Roman" w:hAnsi="Arial" w:cs="Times New Roman"/>
      <w:kern w:val="20"/>
      <w:sz w:val="20"/>
      <w:lang w:val="en-GB" w:eastAsia="en-US"/>
    </w:rPr>
  </w:style>
  <w:style w:type="paragraph" w:styleId="Corpotesto">
    <w:name w:val="Body Text"/>
    <w:basedOn w:val="Normale"/>
    <w:link w:val="CorpotestoCarattere"/>
    <w:semiHidden/>
    <w:rsid w:val="00DE2DE6"/>
    <w:pPr>
      <w:jc w:val="both"/>
    </w:pPr>
    <w:rPr>
      <w:rFonts w:ascii="Arial" w:eastAsia="Times New Roman" w:hAnsi="Arial" w:cs="Times New Roman"/>
      <w:sz w:val="22"/>
      <w:szCs w:val="22"/>
      <w:lang w:eastAsia="en-US"/>
    </w:rPr>
  </w:style>
  <w:style w:type="character" w:customStyle="1" w:styleId="CorpotestoCarattere">
    <w:name w:val="Corpo testo Carattere"/>
    <w:basedOn w:val="Carpredefinitoparagrafo"/>
    <w:link w:val="Corpotesto"/>
    <w:semiHidden/>
    <w:rsid w:val="00DE2DE6"/>
    <w:rPr>
      <w:rFonts w:ascii="Arial" w:eastAsia="Times New Roman" w:hAnsi="Arial" w:cs="Times New Roman"/>
      <w:sz w:val="22"/>
      <w:szCs w:val="22"/>
      <w:lang w:eastAsia="en-US"/>
    </w:rPr>
  </w:style>
  <w:style w:type="character" w:styleId="Collegamentoipertestuale">
    <w:name w:val="Hyperlink"/>
    <w:uiPriority w:val="99"/>
    <w:rsid w:val="00527B07"/>
    <w:rPr>
      <w:color w:val="0000FF"/>
      <w:u w:val="single"/>
    </w:rPr>
  </w:style>
  <w:style w:type="table" w:styleId="Grigliatabella">
    <w:name w:val="Table Grid"/>
    <w:basedOn w:val="Tabellanormale"/>
    <w:uiPriority w:val="59"/>
    <w:rsid w:val="00E803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aliases w:val="Testo elenco,Dash List Paragraph"/>
    <w:basedOn w:val="Normale"/>
    <w:link w:val="ParagrafoelencoCarattere"/>
    <w:uiPriority w:val="34"/>
    <w:qFormat/>
    <w:rsid w:val="00E9105C"/>
    <w:pPr>
      <w:numPr>
        <w:numId w:val="1"/>
      </w:numPr>
      <w:spacing w:before="120" w:after="120"/>
      <w:contextualSpacing/>
    </w:pPr>
    <w:rPr>
      <w:rFonts w:ascii="Arial" w:eastAsia="Calibri" w:hAnsi="Arial" w:cs="Arial"/>
      <w:sz w:val="20"/>
      <w:szCs w:val="20"/>
      <w:lang w:eastAsia="en-US"/>
    </w:rPr>
  </w:style>
  <w:style w:type="character" w:customStyle="1" w:styleId="ParagrafoelencoCarattere">
    <w:name w:val="Paragrafo elenco Carattere"/>
    <w:aliases w:val="Testo elenco Carattere,Dash List Paragraph Carattere"/>
    <w:link w:val="Paragrafoelenco"/>
    <w:uiPriority w:val="34"/>
    <w:rsid w:val="00E9105C"/>
    <w:rPr>
      <w:rFonts w:ascii="Arial" w:eastAsia="Calibri" w:hAnsi="Arial" w:cs="Arial"/>
      <w:sz w:val="20"/>
      <w:szCs w:val="20"/>
      <w:lang w:eastAsia="en-US"/>
    </w:rPr>
  </w:style>
  <w:style w:type="paragraph" w:styleId="Testonotaapidipagina">
    <w:name w:val="footnote text"/>
    <w:basedOn w:val="Normale"/>
    <w:link w:val="TestonotaapidipaginaCarattere"/>
    <w:uiPriority w:val="99"/>
    <w:semiHidden/>
    <w:unhideWhenUsed/>
    <w:rsid w:val="00B65830"/>
    <w:rPr>
      <w:sz w:val="20"/>
      <w:szCs w:val="20"/>
    </w:rPr>
  </w:style>
  <w:style w:type="character" w:customStyle="1" w:styleId="TestonotaapidipaginaCarattere">
    <w:name w:val="Testo nota a piè di pagina Carattere"/>
    <w:basedOn w:val="Carpredefinitoparagrafo"/>
    <w:link w:val="Testonotaapidipagina"/>
    <w:uiPriority w:val="99"/>
    <w:semiHidden/>
    <w:rsid w:val="00B65830"/>
    <w:rPr>
      <w:sz w:val="20"/>
      <w:szCs w:val="20"/>
    </w:rPr>
  </w:style>
  <w:style w:type="character" w:styleId="Rimandonotaapidipagina">
    <w:name w:val="footnote reference"/>
    <w:basedOn w:val="Carpredefinitoparagrafo"/>
    <w:uiPriority w:val="99"/>
    <w:semiHidden/>
    <w:unhideWhenUsed/>
    <w:rsid w:val="00B65830"/>
    <w:rPr>
      <w:vertAlign w:val="superscript"/>
    </w:rPr>
  </w:style>
  <w:style w:type="table" w:styleId="Tabellagriglia2-colore1">
    <w:name w:val="Grid Table 2 Accent 1"/>
    <w:basedOn w:val="Tabellanormale"/>
    <w:uiPriority w:val="47"/>
    <w:rsid w:val="00B65830"/>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eWeb">
    <w:name w:val="Normal (Web)"/>
    <w:basedOn w:val="Normale"/>
    <w:uiPriority w:val="99"/>
    <w:unhideWhenUsed/>
    <w:rsid w:val="00CF4D9B"/>
    <w:pPr>
      <w:spacing w:before="100" w:beforeAutospacing="1" w:after="100" w:afterAutospacing="1"/>
    </w:pPr>
    <w:rPr>
      <w:rFonts w:ascii="Times New Roman" w:eastAsia="Times New Roman" w:hAnsi="Times New Roman" w:cs="Times New Roman"/>
    </w:rPr>
  </w:style>
  <w:style w:type="table" w:customStyle="1" w:styleId="Tabellagriglia2-colore11">
    <w:name w:val="Tabella griglia 2 - colore 11"/>
    <w:basedOn w:val="Tabellanormale"/>
    <w:uiPriority w:val="47"/>
    <w:rsid w:val="004529E1"/>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Revisione">
    <w:name w:val="Revision"/>
    <w:hidden/>
    <w:uiPriority w:val="99"/>
    <w:semiHidden/>
    <w:rsid w:val="007215B8"/>
  </w:style>
  <w:style w:type="character" w:styleId="Rimandocommento">
    <w:name w:val="annotation reference"/>
    <w:basedOn w:val="Carpredefinitoparagrafo"/>
    <w:uiPriority w:val="99"/>
    <w:semiHidden/>
    <w:unhideWhenUsed/>
    <w:rsid w:val="00C7721D"/>
    <w:rPr>
      <w:sz w:val="16"/>
      <w:szCs w:val="16"/>
    </w:rPr>
  </w:style>
  <w:style w:type="paragraph" w:styleId="Testocommento">
    <w:name w:val="annotation text"/>
    <w:basedOn w:val="Normale"/>
    <w:link w:val="TestocommentoCarattere"/>
    <w:uiPriority w:val="99"/>
    <w:semiHidden/>
    <w:unhideWhenUsed/>
    <w:rsid w:val="00C7721D"/>
    <w:rPr>
      <w:sz w:val="20"/>
      <w:szCs w:val="20"/>
    </w:rPr>
  </w:style>
  <w:style w:type="character" w:customStyle="1" w:styleId="TestocommentoCarattere">
    <w:name w:val="Testo commento Carattere"/>
    <w:basedOn w:val="Carpredefinitoparagrafo"/>
    <w:link w:val="Testocommento"/>
    <w:uiPriority w:val="99"/>
    <w:semiHidden/>
    <w:rsid w:val="00C7721D"/>
    <w:rPr>
      <w:sz w:val="20"/>
      <w:szCs w:val="20"/>
    </w:rPr>
  </w:style>
  <w:style w:type="paragraph" w:styleId="Soggettocommento">
    <w:name w:val="annotation subject"/>
    <w:basedOn w:val="Testocommento"/>
    <w:next w:val="Testocommento"/>
    <w:link w:val="SoggettocommentoCarattere"/>
    <w:uiPriority w:val="99"/>
    <w:semiHidden/>
    <w:unhideWhenUsed/>
    <w:rsid w:val="00C7721D"/>
    <w:rPr>
      <w:b/>
      <w:bCs/>
    </w:rPr>
  </w:style>
  <w:style w:type="character" w:customStyle="1" w:styleId="SoggettocommentoCarattere">
    <w:name w:val="Soggetto commento Carattere"/>
    <w:basedOn w:val="TestocommentoCarattere"/>
    <w:link w:val="Soggettocommento"/>
    <w:uiPriority w:val="99"/>
    <w:semiHidden/>
    <w:rsid w:val="00C7721D"/>
    <w:rPr>
      <w:b/>
      <w:bCs/>
      <w:sz w:val="20"/>
      <w:szCs w:val="20"/>
    </w:rPr>
  </w:style>
  <w:style w:type="character" w:styleId="Menzionenonrisolta">
    <w:name w:val="Unresolved Mention"/>
    <w:basedOn w:val="Carpredefinitoparagrafo"/>
    <w:uiPriority w:val="99"/>
    <w:semiHidden/>
    <w:unhideWhenUsed/>
    <w:rsid w:val="0016480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382697">
      <w:bodyDiv w:val="1"/>
      <w:marLeft w:val="0"/>
      <w:marRight w:val="0"/>
      <w:marTop w:val="0"/>
      <w:marBottom w:val="0"/>
      <w:divBdr>
        <w:top w:val="none" w:sz="0" w:space="0" w:color="auto"/>
        <w:left w:val="none" w:sz="0" w:space="0" w:color="auto"/>
        <w:bottom w:val="none" w:sz="0" w:space="0" w:color="auto"/>
        <w:right w:val="none" w:sz="0" w:space="0" w:color="auto"/>
      </w:divBdr>
    </w:div>
    <w:div w:id="679621330">
      <w:bodyDiv w:val="1"/>
      <w:marLeft w:val="0"/>
      <w:marRight w:val="0"/>
      <w:marTop w:val="0"/>
      <w:marBottom w:val="0"/>
      <w:divBdr>
        <w:top w:val="none" w:sz="0" w:space="0" w:color="auto"/>
        <w:left w:val="none" w:sz="0" w:space="0" w:color="auto"/>
        <w:bottom w:val="none" w:sz="0" w:space="0" w:color="auto"/>
        <w:right w:val="none" w:sz="0" w:space="0" w:color="auto"/>
      </w:divBdr>
    </w:div>
    <w:div w:id="977807092">
      <w:bodyDiv w:val="1"/>
      <w:marLeft w:val="0"/>
      <w:marRight w:val="0"/>
      <w:marTop w:val="0"/>
      <w:marBottom w:val="0"/>
      <w:divBdr>
        <w:top w:val="none" w:sz="0" w:space="0" w:color="auto"/>
        <w:left w:val="none" w:sz="0" w:space="0" w:color="auto"/>
        <w:bottom w:val="none" w:sz="0" w:space="0" w:color="auto"/>
        <w:right w:val="none" w:sz="0" w:space="0" w:color="auto"/>
      </w:divBdr>
    </w:div>
    <w:div w:id="1878808370">
      <w:bodyDiv w:val="1"/>
      <w:marLeft w:val="0"/>
      <w:marRight w:val="0"/>
      <w:marTop w:val="0"/>
      <w:marBottom w:val="0"/>
      <w:divBdr>
        <w:top w:val="none" w:sz="0" w:space="0" w:color="auto"/>
        <w:left w:val="none" w:sz="0" w:space="0" w:color="auto"/>
        <w:bottom w:val="none" w:sz="0" w:space="0" w:color="auto"/>
        <w:right w:val="none" w:sz="0" w:space="0" w:color="auto"/>
      </w:divBdr>
    </w:div>
    <w:div w:id="19803822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reclami.pec@bancaifis.legalmail.it"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reclami@bancaifis.i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hyperlink" Target="http://www.bancaifis.it" TargetMode="External"/><Relationship Id="rId10" Type="http://schemas.openxmlformats.org/officeDocument/2006/relationships/hyperlink" Target="http://www.bancaifis.it"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bancaifis.it"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431FFB031D7854A877EDC17C74CB25B" ma:contentTypeVersion="0" ma:contentTypeDescription="Creare un nuovo documento." ma:contentTypeScope="" ma:versionID="7ee02d1265efd8660bc3ca5775cf9e96">
  <xsd:schema xmlns:xsd="http://www.w3.org/2001/XMLSchema" xmlns:xs="http://www.w3.org/2001/XMLSchema" xmlns:p="http://schemas.microsoft.com/office/2006/metadata/properties" targetNamespace="http://schemas.microsoft.com/office/2006/metadata/properties" ma:root="true" ma:fieldsID="de2c2bff39701977361371fca1d1563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FB3AD7-560E-4904-A9E3-EE11A0B694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5962467-6AD3-472B-95AA-02F0FA33765E}">
  <ds:schemaRefs>
    <ds:schemaRef ds:uri="http://schemas.openxmlformats.org/package/2006/metadata/core-properties"/>
    <ds:schemaRef ds:uri="http://schemas.microsoft.com/office/2006/documentManagement/types"/>
    <ds:schemaRef ds:uri="http://schemas.microsoft.com/office/2006/metadata/properties"/>
    <ds:schemaRef ds:uri="http://purl.org/dc/elements/1.1/"/>
    <ds:schemaRef ds:uri="http://www.w3.org/XML/1998/namespace"/>
    <ds:schemaRef ds:uri="http://purl.org/dc/terms/"/>
    <ds:schemaRef ds:uri="http://purl.org/dc/dcmitype/"/>
    <ds:schemaRef ds:uri="http://schemas.microsoft.com/office/infopath/2007/PartnerControls"/>
  </ds:schemaRefs>
</ds:datastoreItem>
</file>

<file path=customXml/itemProps3.xml><?xml version="1.0" encoding="utf-8"?>
<ds:datastoreItem xmlns:ds="http://schemas.openxmlformats.org/officeDocument/2006/customXml" ds:itemID="{87CDB045-DC13-4B6A-AF03-D72A161166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1570</Words>
  <Characters>8955</Characters>
  <Application>Microsoft Office Word</Application>
  <DocSecurity>0</DocSecurity>
  <Lines>74</Lines>
  <Paragraphs>21</Paragraphs>
  <ScaleCrop>false</ScaleCrop>
  <HeadingPairs>
    <vt:vector size="2" baseType="variant">
      <vt:variant>
        <vt:lpstr>Titolo</vt:lpstr>
      </vt:variant>
      <vt:variant>
        <vt:i4>1</vt:i4>
      </vt:variant>
    </vt:vector>
  </HeadingPairs>
  <TitlesOfParts>
    <vt:vector size="1" baseType="lpstr">
      <vt:lpstr>Carta Intestata Banca IFIS Impresa</vt:lpstr>
    </vt:vector>
  </TitlesOfParts>
  <Company>Emporioadv</Company>
  <LinksUpToDate>false</LinksUpToDate>
  <CharactersWithSpaces>10504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Carta Intestata Banca IFIS Impresa</dc:title>
  <dc:creator>m.scapin</dc:creator>
  <cp:lastModifiedBy>Rita Capocasale</cp:lastModifiedBy>
  <cp:revision>5</cp:revision>
  <cp:lastPrinted>2018-03-09T11:35:00Z</cp:lastPrinted>
  <dcterms:created xsi:type="dcterms:W3CDTF">2018-11-08T14:03:00Z</dcterms:created>
  <dcterms:modified xsi:type="dcterms:W3CDTF">2018-11-16T13:34:00Z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ormativaEmanatore">
    <vt:lpwstr>147;#Comunicazione|1644a99d-f17b-436b-8834-31b427f9c8b2</vt:lpwstr>
  </property>
  <property fmtid="{D5CDD505-2E9C-101B-9397-08002B2CF9AE}" pid="3" name="NormativaClassificazione">
    <vt:lpwstr>65;#Corporate Identity|30b9de3c-f07a-4e3d-86cb-a10130a25bb5</vt:lpwstr>
  </property>
  <property fmtid="{D5CDD505-2E9C-101B-9397-08002B2CF9AE}" pid="4" name="ContentTypeId">
    <vt:lpwstr>0x0101004431FFB031D7854A877EDC17C74CB25B</vt:lpwstr>
  </property>
  <property fmtid="{D5CDD505-2E9C-101B-9397-08002B2CF9AE}" pid="5" name="NormativaLingua">
    <vt:lpwstr>1;#Italiano|bdd6b5c3-1f24-4753-8c66-8e35fe208652</vt:lpwstr>
  </property>
  <property fmtid="{D5CDD505-2E9C-101B-9397-08002B2CF9AE}" pid="6" name="NormativaASAAmbito">
    <vt:lpwstr>16;#Crediti Commerciali|5b0ba8a7-e876-4f4a-a4e4-ff496223e6c4</vt:lpwstr>
  </property>
  <property fmtid="{D5CDD505-2E9C-101B-9397-08002B2CF9AE}" pid="7" name="NormativaTarget">
    <vt:lpwstr>4;#Tutti|e46db668-e75d-4db5-aead-3fb1cbd7cf35</vt:lpwstr>
  </property>
  <property fmtid="{D5CDD505-2E9C-101B-9397-08002B2CF9AE}" pid="8" name="NormativaRuoloApprovatore">
    <vt:lpwstr>Responsabile Funzione Comunicazione</vt:lpwstr>
  </property>
  <property fmtid="{D5CDD505-2E9C-101B-9397-08002B2CF9AE}" pid="9" name="NormativaConvenzione">
    <vt:lpwstr/>
  </property>
  <property fmtid="{D5CDD505-2E9C-101B-9397-08002B2CF9AE}" pid="10" name="TaxCatchAll">
    <vt:lpwstr>1;#Italiano|bdd6b5c3-1f24-4753-8c66-8e35fe208652</vt:lpwstr>
  </property>
  <property fmtid="{D5CDD505-2E9C-101B-9397-08002B2CF9AE}" pid="11" name="NormativaFase">
    <vt:lpwstr/>
  </property>
  <property fmtid="{D5CDD505-2E9C-101B-9397-08002B2CF9AE}" pid="12" name="NormativaTipologiaContratto">
    <vt:lpwstr>81;#Non applicabile|9a5b7de4-f547-40b6-aba9-451a74e5baa3</vt:lpwstr>
  </property>
  <property fmtid="{D5CDD505-2E9C-101B-9397-08002B2CF9AE}" pid="13" name="NormativaFormeTecniche">
    <vt:lpwstr/>
  </property>
  <property fmtid="{D5CDD505-2E9C-101B-9397-08002B2CF9AE}" pid="14" name="ob7801515ee445fca00e3b196cd4668c">
    <vt:lpwstr/>
  </property>
  <property fmtid="{D5CDD505-2E9C-101B-9397-08002B2CF9AE}" pid="15" name="lbe9255f8fe74c10b0d62b35775db16c">
    <vt:lpwstr>Crediti Commerciali|5b0ba8a7-e876-4f4a-a4e4-ff496223e6c4</vt:lpwstr>
  </property>
  <property fmtid="{D5CDD505-2E9C-101B-9397-08002B2CF9AE}" pid="16" name="oa4e03e7e6924025aefca0c2cf371979">
    <vt:lpwstr>Comunicazione|1644a99d-f17b-436b-8834-31b427f9c8b2</vt:lpwstr>
  </property>
  <property fmtid="{D5CDD505-2E9C-101B-9397-08002B2CF9AE}" pid="17" name="bf69c2c3d20d4f4a83f1371de304acd2">
    <vt:lpwstr>Tutti|e46db668-e75d-4db5-aead-3fb1cbd7cf35</vt:lpwstr>
  </property>
  <property fmtid="{D5CDD505-2E9C-101B-9397-08002B2CF9AE}" pid="18" name="if45faf3a8214d28b8337b08deeb0e4d">
    <vt:lpwstr>Corporate Identity|30b9de3c-f07a-4e3d-86cb-a10130a25bb5</vt:lpwstr>
  </property>
  <property fmtid="{D5CDD505-2E9C-101B-9397-08002B2CF9AE}" pid="19" name="NormativaMainWordMajorVersion">
    <vt:r8>1</vt:r8>
  </property>
  <property fmtid="{D5CDD505-2E9C-101B-9397-08002B2CF9AE}" pid="20" name="NormativaMainWordDocumentUrl">
    <vt:lpwstr>, </vt:lpwstr>
  </property>
  <property fmtid="{D5CDD505-2E9C-101B-9397-08002B2CF9AE}" pid="21" name="NormativaMainWordMinorVersion">
    <vt:r8>0</vt:r8>
  </property>
</Properties>
</file>