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140E" w14:textId="77777777" w:rsidR="00D234FB" w:rsidRPr="000E4374" w:rsidRDefault="00D234FB" w:rsidP="00D234FB">
      <w:pPr>
        <w:tabs>
          <w:tab w:val="left" w:pos="6400"/>
        </w:tabs>
        <w:jc w:val="center"/>
        <w:rPr>
          <w:rFonts w:ascii="Calibri" w:eastAsia="Times New Roman" w:hAnsi="Calibri" w:cs="Times New Roman"/>
          <w:b/>
          <w:color w:val="365F91" w:themeColor="accent1" w:themeShade="BF"/>
          <w:kern w:val="20"/>
          <w:sz w:val="28"/>
          <w:szCs w:val="22"/>
          <w:lang w:eastAsia="en-US"/>
        </w:rPr>
      </w:pPr>
      <w:r w:rsidRPr="000E4374">
        <w:rPr>
          <w:rFonts w:ascii="Calibri" w:eastAsia="Times New Roman" w:hAnsi="Calibri" w:cs="Times New Roman"/>
          <w:b/>
          <w:color w:val="365F91" w:themeColor="accent1" w:themeShade="BF"/>
          <w:kern w:val="20"/>
          <w:sz w:val="28"/>
          <w:szCs w:val="22"/>
          <w:lang w:eastAsia="en-US"/>
        </w:rPr>
        <w:t>DOCUMENTO CONTENENTE LE INFORMAZIONI CHIAVE</w:t>
      </w:r>
    </w:p>
    <w:p w14:paraId="39C10CAB" w14:textId="77777777" w:rsidR="00D234FB" w:rsidRPr="000E4374" w:rsidRDefault="00D234FB" w:rsidP="00D234FB">
      <w:pPr>
        <w:tabs>
          <w:tab w:val="left" w:pos="6400"/>
        </w:tabs>
        <w:rPr>
          <w:rFonts w:ascii="Calibri" w:eastAsia="Times New Roman" w:hAnsi="Calibri" w:cs="Times New Roman"/>
          <w:b/>
          <w:color w:val="365F91" w:themeColor="accent1" w:themeShade="BF"/>
          <w:kern w:val="20"/>
          <w:sz w:val="22"/>
          <w:szCs w:val="22"/>
          <w:lang w:eastAsia="en-US"/>
        </w:rPr>
      </w:pPr>
      <w:r w:rsidRPr="000E4374">
        <w:rPr>
          <w:rFonts w:ascii="Calibri" w:eastAsia="Times New Roman" w:hAnsi="Calibri" w:cs="Times New Roman"/>
          <w:b/>
          <w:color w:val="365F91" w:themeColor="accent1" w:themeShade="BF"/>
          <w:kern w:val="20"/>
          <w:sz w:val="22"/>
          <w:szCs w:val="22"/>
          <w:lang w:eastAsia="en-US"/>
        </w:rPr>
        <w:t>SCOPO</w:t>
      </w:r>
    </w:p>
    <w:p w14:paraId="3E0FBCB6" w14:textId="77777777" w:rsidR="00D234FB" w:rsidRPr="003F742A" w:rsidRDefault="00D234FB" w:rsidP="00D234FB">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Il presente documento contiene informazioni chiave relative a questo prodotto d'investimento. Non si tratta di un documento promozionale. Le informazioni, prescritte per legge, hanno lo scopo di aiutarvi a capire le caratteristiche, i rischi, i costi, i guadagni e le perdite potenziali di questo prodotto e di aiutarvi a fare un raffronto con altri prodotti d'investimento.</w:t>
      </w:r>
    </w:p>
    <w:p w14:paraId="7CC75B9E" w14:textId="77777777" w:rsidR="00D234FB" w:rsidRPr="003F742A" w:rsidRDefault="00D234FB" w:rsidP="00D234FB">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0712C3DF" w14:textId="77777777" w:rsidR="00D234FB" w:rsidRPr="003F742A" w:rsidRDefault="00D234FB" w:rsidP="00D234FB">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PRODOTTO</w:t>
      </w:r>
    </w:p>
    <w:tbl>
      <w:tblPr>
        <w:tblStyle w:val="Grigliatabella"/>
        <w:tblW w:w="10201" w:type="dxa"/>
        <w:tblLook w:val="04A0" w:firstRow="1" w:lastRow="0" w:firstColumn="1" w:lastColumn="0" w:noHBand="0" w:noVBand="1"/>
      </w:tblPr>
      <w:tblGrid>
        <w:gridCol w:w="3114"/>
        <w:gridCol w:w="7087"/>
      </w:tblGrid>
      <w:tr w:rsidR="00D234FB" w:rsidRPr="003F742A" w14:paraId="07BB9E6E" w14:textId="77777777" w:rsidTr="00746755">
        <w:tc>
          <w:tcPr>
            <w:tcW w:w="3114" w:type="dxa"/>
            <w:shd w:val="clear" w:color="auto" w:fill="F2F2F2" w:themeFill="background1" w:themeFillShade="F2"/>
          </w:tcPr>
          <w:p w14:paraId="75F10512"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Nome del prodotto:</w:t>
            </w:r>
          </w:p>
        </w:tc>
        <w:tc>
          <w:tcPr>
            <w:tcW w:w="7087" w:type="dxa"/>
          </w:tcPr>
          <w:p w14:paraId="3A5C732F"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Outright Export</w:t>
            </w:r>
          </w:p>
        </w:tc>
      </w:tr>
      <w:tr w:rsidR="00D234FB" w:rsidRPr="003F742A" w14:paraId="337EE98E" w14:textId="77777777" w:rsidTr="00746755">
        <w:tc>
          <w:tcPr>
            <w:tcW w:w="3114" w:type="dxa"/>
            <w:shd w:val="clear" w:color="auto" w:fill="F2F2F2" w:themeFill="background1" w:themeFillShade="F2"/>
          </w:tcPr>
          <w:p w14:paraId="43B998F5"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Ideatore del prodotto</w:t>
            </w:r>
          </w:p>
        </w:tc>
        <w:tc>
          <w:tcPr>
            <w:tcW w:w="7087" w:type="dxa"/>
          </w:tcPr>
          <w:p w14:paraId="422DD548"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Banca IFIS S.p.A.</w:t>
            </w:r>
          </w:p>
          <w:p w14:paraId="735C02AB"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Sito internet: </w:t>
            </w:r>
            <w:hyperlink r:id="rId10" w:history="1">
              <w:r w:rsidRPr="003F742A">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2BDF6052"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Telefono: +39 041 5027511</w:t>
            </w:r>
          </w:p>
        </w:tc>
      </w:tr>
      <w:tr w:rsidR="00D234FB" w:rsidRPr="003F742A" w14:paraId="20740F2F" w14:textId="77777777" w:rsidTr="00746755">
        <w:tc>
          <w:tcPr>
            <w:tcW w:w="3114" w:type="dxa"/>
            <w:shd w:val="clear" w:color="auto" w:fill="F2F2F2" w:themeFill="background1" w:themeFillShade="F2"/>
          </w:tcPr>
          <w:p w14:paraId="26D2B62B"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Autorità di vigilanza competente</w:t>
            </w:r>
          </w:p>
        </w:tc>
        <w:tc>
          <w:tcPr>
            <w:tcW w:w="7087" w:type="dxa"/>
          </w:tcPr>
          <w:p w14:paraId="7CA35154"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Commissione Nazionale per le Società e la Borsa (Consob) </w:t>
            </w:r>
          </w:p>
        </w:tc>
      </w:tr>
      <w:tr w:rsidR="00D234FB" w:rsidRPr="00164806" w14:paraId="449CFD38" w14:textId="77777777" w:rsidTr="00746755">
        <w:tc>
          <w:tcPr>
            <w:tcW w:w="3114" w:type="dxa"/>
            <w:shd w:val="clear" w:color="auto" w:fill="F2F2F2" w:themeFill="background1" w:themeFillShade="F2"/>
          </w:tcPr>
          <w:p w14:paraId="1F7747BB" w14:textId="77777777" w:rsidR="00D234FB" w:rsidRPr="00164806"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Data di redazione del documento</w:t>
            </w:r>
          </w:p>
        </w:tc>
        <w:tc>
          <w:tcPr>
            <w:tcW w:w="7087" w:type="dxa"/>
          </w:tcPr>
          <w:p w14:paraId="3E07999D" w14:textId="7E138F95" w:rsidR="00D234FB" w:rsidRPr="00164806" w:rsidRDefault="007F789D"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26/10</w:t>
            </w:r>
            <w:r w:rsidR="00D234FB"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/2018</w:t>
            </w:r>
          </w:p>
        </w:tc>
      </w:tr>
    </w:tbl>
    <w:p w14:paraId="55AB175F"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shd w:val="clear" w:color="auto" w:fill="F2F2F2" w:themeFill="background1" w:themeFillShade="F2"/>
        <w:tblLook w:val="04A0" w:firstRow="1" w:lastRow="0" w:firstColumn="1" w:lastColumn="0" w:noHBand="0" w:noVBand="1"/>
      </w:tblPr>
      <w:tblGrid>
        <w:gridCol w:w="10188"/>
      </w:tblGrid>
      <w:tr w:rsidR="00D234FB" w:rsidRPr="00164806" w14:paraId="382BBCD9" w14:textId="77777777" w:rsidTr="00746755">
        <w:tc>
          <w:tcPr>
            <w:tcW w:w="10188" w:type="dxa"/>
            <w:shd w:val="clear" w:color="auto" w:fill="F2F2F2" w:themeFill="background1" w:themeFillShade="F2"/>
          </w:tcPr>
          <w:p w14:paraId="1FAC8309" w14:textId="77777777" w:rsidR="00D234FB" w:rsidRPr="00164806" w:rsidRDefault="00D234FB" w:rsidP="00746755">
            <w:pPr>
              <w:tabs>
                <w:tab w:val="left" w:pos="6400"/>
              </w:tabs>
              <w:jc w:val="center"/>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State per acquistare un prodotto che non è semplice e può essere di difficile comprensione</w:t>
            </w:r>
          </w:p>
        </w:tc>
      </w:tr>
    </w:tbl>
    <w:p w14:paraId="00F89CBD"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tblInd w:w="-147" w:type="dxa"/>
        <w:tblLook w:val="04A0" w:firstRow="1" w:lastRow="0" w:firstColumn="1" w:lastColumn="0" w:noHBand="0" w:noVBand="1"/>
      </w:tblPr>
      <w:tblGrid>
        <w:gridCol w:w="10335"/>
      </w:tblGrid>
      <w:tr w:rsidR="00D234FB" w:rsidRPr="00164806" w14:paraId="423E9A42" w14:textId="77777777" w:rsidTr="00EB33A8">
        <w:tc>
          <w:tcPr>
            <w:tcW w:w="10335" w:type="dxa"/>
            <w:shd w:val="clear" w:color="auto" w:fill="F2F2F2" w:themeFill="background1" w:themeFillShade="F2"/>
          </w:tcPr>
          <w:p w14:paraId="5CA1B236" w14:textId="77777777" w:rsidR="00D234FB" w:rsidRPr="00164806"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COS’È QUESTO PRODOTTO?</w:t>
            </w:r>
          </w:p>
        </w:tc>
      </w:tr>
      <w:tr w:rsidR="00D234FB" w:rsidRPr="003F742A" w14:paraId="1044C9C6" w14:textId="77777777" w:rsidTr="00EB33A8">
        <w:tc>
          <w:tcPr>
            <w:tcW w:w="10335" w:type="dxa"/>
            <w:shd w:val="clear" w:color="auto" w:fill="auto"/>
          </w:tcPr>
          <w:p w14:paraId="76B0B6B5"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pPr>
            <w:proofErr w:type="spellStart"/>
            <w:r w:rsidRPr="00164806">
              <w:rPr>
                <w:rFonts w:asciiTheme="majorHAnsi" w:eastAsia="Times New Roman" w:hAnsiTheme="majorHAnsi" w:cstheme="majorHAnsi"/>
                <w:b/>
                <w:color w:val="365F91" w:themeColor="accent1" w:themeShade="BF"/>
                <w:kern w:val="20"/>
                <w:sz w:val="20"/>
                <w:szCs w:val="20"/>
                <w:lang w:val="en-US" w:eastAsia="en-US"/>
              </w:rPr>
              <w:t>Tipo</w:t>
            </w:r>
            <w:proofErr w:type="spellEnd"/>
            <w:r w:rsidRPr="00164806">
              <w:rPr>
                <w:rFonts w:asciiTheme="majorHAnsi" w:eastAsia="Times New Roman" w:hAnsiTheme="majorHAnsi" w:cstheme="majorHAnsi"/>
                <w:b/>
                <w:color w:val="365F91" w:themeColor="accent1" w:themeShade="BF"/>
                <w:kern w:val="20"/>
                <w:sz w:val="20"/>
                <w:szCs w:val="20"/>
                <w:lang w:val="en-US" w:eastAsia="en-US"/>
              </w:rPr>
              <w:t>:</w:t>
            </w:r>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Derivato</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su</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valute</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OTC (Over the Counter) - Outright Export</w:t>
            </w:r>
          </w:p>
          <w:p w14:paraId="745E2AB2"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eastAsia="Times New Roman" w:hAnsiTheme="majorHAnsi" w:cstheme="majorHAnsi"/>
                <w:b/>
                <w:color w:val="365F91" w:themeColor="accent1" w:themeShade="BF"/>
                <w:kern w:val="20"/>
                <w:sz w:val="20"/>
                <w:szCs w:val="20"/>
                <w:lang w:eastAsia="en-US"/>
              </w:rPr>
              <w:t>Obiettivi:</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sz w:val="20"/>
                <w:szCs w:val="20"/>
              </w:rPr>
              <w:t>questo prodotto è un contratto con il quale il Cliente si impegna a vendere alla Banca, a una determinata data di scadenza, una certa quantità di valuta estera (valuta) ad un tasso di cambio predeterminato.</w:t>
            </w:r>
          </w:p>
          <w:p w14:paraId="5B98F310"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hAnsiTheme="majorHAnsi" w:cstheme="majorHAnsi"/>
                <w:sz w:val="20"/>
                <w:szCs w:val="20"/>
              </w:rPr>
              <w:t>In questo modo il cliente può proteggersi da eventuali variazioni sfavorevoli del rapporto di cambio. Per contro, in caso di variazioni favorevoli di questo ultimo, il cliente non potrà beneficiare dei relativi vantaggi economici.</w:t>
            </w:r>
          </w:p>
          <w:p w14:paraId="15B18528" w14:textId="0DD6BFA1"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u w:val="single"/>
                <w14:shadow w14:blurRad="63500" w14:dist="50800" w14:dir="1140000" w14:sx="0" w14:sy="0" w14:kx="0" w14:ky="0" w14:algn="none">
                  <w14:srgbClr w14:val="000000">
                    <w14:alpha w14:val="50000"/>
                  </w14:srgbClr>
                </w14:shadow>
              </w:rPr>
              <w:t xml:space="preserve">Attività di riferimento sottostante: </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cambio Euro/Dollaro</w:t>
            </w:r>
            <w:r w:rsidR="009F5D68">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564E08ED"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Come funziona</w:t>
            </w:r>
          </w:p>
          <w:p w14:paraId="0AB94B2F" w14:textId="77777777" w:rsidR="00D234FB" w:rsidRPr="00164806" w:rsidRDefault="00D234FB" w:rsidP="00C63119">
            <w:pPr>
              <w:pStyle w:val="Paragrafoelenco"/>
              <w:numPr>
                <w:ilvl w:val="0"/>
                <w:numId w:val="4"/>
              </w:numPr>
              <w:tabs>
                <w:tab w:val="left" w:pos="6400"/>
              </w:tabs>
              <w:spacing w:before="0" w:after="0"/>
              <w:ind w:left="171" w:hanging="171"/>
              <w:jc w:val="both"/>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Flussi regolati alla data di scadenza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rPr>
              <w:t xml:space="preserve">Il Cliente, alla </w:t>
            </w:r>
            <w:r w:rsidR="00093ADD" w:rsidRPr="00164806">
              <w:rPr>
                <w:rFonts w:asciiTheme="majorHAnsi" w:hAnsiTheme="majorHAnsi" w:cstheme="majorHAnsi"/>
              </w:rPr>
              <w:t>D</w:t>
            </w:r>
            <w:r w:rsidRPr="00164806">
              <w:rPr>
                <w:rFonts w:asciiTheme="majorHAnsi" w:hAnsiTheme="majorHAnsi" w:cstheme="majorHAnsi"/>
              </w:rPr>
              <w:t xml:space="preserve">ata di </w:t>
            </w:r>
            <w:r w:rsidR="00093ADD" w:rsidRPr="00164806">
              <w:rPr>
                <w:rFonts w:asciiTheme="majorHAnsi" w:hAnsiTheme="majorHAnsi" w:cstheme="majorHAnsi"/>
              </w:rPr>
              <w:t>S</w:t>
            </w:r>
            <w:r w:rsidRPr="00164806">
              <w:rPr>
                <w:rFonts w:asciiTheme="majorHAnsi" w:hAnsiTheme="majorHAnsi" w:cstheme="majorHAnsi"/>
              </w:rPr>
              <w:t xml:space="preserve">cadenza, consegna alla Banca l’ammontare della valuta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venduta e riceve il corrispettivo determinato</w:t>
            </w:r>
            <w:r w:rsidR="004F5C71"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 xml:space="preserve">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applicando il tasso di cambio contrattuale.</w:t>
            </w:r>
          </w:p>
          <w:p w14:paraId="018610D0" w14:textId="06D61307" w:rsidR="00D234FB" w:rsidRPr="00164806" w:rsidRDefault="00D234FB" w:rsidP="00C63119">
            <w:pPr>
              <w:pStyle w:val="Paragrafoelenco"/>
              <w:numPr>
                <w:ilvl w:val="0"/>
                <w:numId w:val="4"/>
              </w:numPr>
              <w:tabs>
                <w:tab w:val="left" w:pos="6400"/>
              </w:tabs>
              <w:autoSpaceDE w:val="0"/>
              <w:autoSpaceDN w:val="0"/>
              <w:spacing w:before="0" w:after="0"/>
              <w:ind w:left="171" w:hanging="171"/>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Durata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Il cliente può detenere il prodotto in argomento per un periodo inferiore alla durata originaria</w:t>
            </w:r>
            <w:r w:rsidR="00D517A9">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pari a 9</w:t>
            </w:r>
            <w:r w:rsidR="00DD6C7F"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 mesi</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w:t>
            </w:r>
          </w:p>
          <w:p w14:paraId="0F3F9AA9" w14:textId="77777777" w:rsidR="00D234FB" w:rsidRPr="00164806" w:rsidRDefault="00D234FB" w:rsidP="00746755">
            <w:pPr>
              <w:autoSpaceDE w:val="0"/>
              <w:autoSpaceDN w:val="0"/>
              <w:jc w:val="both"/>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In tal caso, </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la Banca si renderà disponibile a fornire al cliente una valutazione economica (a credito o a debito per il cliente) per l’estinzione anticipata dell’operazione, calcolata secondo i principi e le regole definiti nell’</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A</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ccordo </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Quadro</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 </w:t>
            </w:r>
          </w:p>
          <w:p w14:paraId="161D077C"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Date e valori chiave</w:t>
            </w:r>
          </w:p>
          <w:p w14:paraId="72B4E6F7" w14:textId="77777777" w:rsidR="00D234FB" w:rsidRPr="00164806" w:rsidRDefault="00D234FB" w:rsidP="00746755">
            <w:pPr>
              <w:tabs>
                <w:tab w:val="left" w:pos="6400"/>
              </w:tabs>
              <w:jc w:val="both"/>
              <w:rPr>
                <w:rFonts w:asciiTheme="majorHAnsi" w:hAnsiTheme="majorHAnsi" w:cstheme="majorHAnsi"/>
                <w:strike/>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Per i termini e le condizioni chiave dello specifico contratto da sottoscrivere con la Banca, si rinvia all’Accordo Quadro.</w:t>
            </w:r>
          </w:p>
          <w:p w14:paraId="210D7BCB"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Investitori al dettaglio a cui si intende commercializzare il prodotto</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1D52E5C0" w14:textId="77777777" w:rsidR="00D234FB" w:rsidRPr="003F742A" w:rsidRDefault="00D234FB" w:rsidP="00C63119">
            <w:pPr>
              <w:tabs>
                <w:tab w:val="left" w:pos="6400"/>
              </w:tabs>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Questo prodotto è rivolto a soggetti Persone Giuridiche che:</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un’adeguata conoscenza dei mercati e dei prodotti finanziari</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b)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la necessità di vendere la valuta estera per soddisfare un fabbisogno commerciale e/o finanziario e intendono ridurre la variabilità dei connessi oneri finanziari.</w:t>
            </w:r>
          </w:p>
        </w:tc>
      </w:tr>
      <w:tr w:rsidR="00D234FB" w:rsidRPr="003F742A" w14:paraId="4A7D2A62" w14:textId="77777777" w:rsidTr="00EB33A8">
        <w:tc>
          <w:tcPr>
            <w:tcW w:w="10335" w:type="dxa"/>
            <w:shd w:val="clear" w:color="auto" w:fill="D9D9D9" w:themeFill="background1" w:themeFillShade="D9"/>
          </w:tcPr>
          <w:p w14:paraId="39FD6E4C"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QUALI SONO I RISCHI E QUAL È IL POTENZIALE RENDIMENTO?</w:t>
            </w:r>
          </w:p>
        </w:tc>
      </w:tr>
      <w:tr w:rsidR="00D234FB" w:rsidRPr="003F742A" w14:paraId="2485534D" w14:textId="77777777" w:rsidTr="00EB33A8">
        <w:tc>
          <w:tcPr>
            <w:tcW w:w="10335" w:type="dxa"/>
            <w:shd w:val="clear" w:color="auto" w:fill="auto"/>
          </w:tcPr>
          <w:p w14:paraId="3ECFC419"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Indicatore di rischio </w:t>
            </w:r>
          </w:p>
          <w:p w14:paraId="43A2CC66"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Indicatore sintetico di rischio (SRI): di seguito l’indicatore di rischio del prodotto</w:t>
            </w:r>
          </w:p>
          <w:tbl>
            <w:tblPr>
              <w:tblStyle w:val="Grigliatabella"/>
              <w:tblW w:w="0" w:type="auto"/>
              <w:tblLook w:val="04A0" w:firstRow="1" w:lastRow="0" w:firstColumn="1" w:lastColumn="0" w:noHBand="0" w:noVBand="1"/>
            </w:tblPr>
            <w:tblGrid>
              <w:gridCol w:w="1423"/>
              <w:gridCol w:w="1423"/>
              <w:gridCol w:w="1423"/>
              <w:gridCol w:w="1423"/>
              <w:gridCol w:w="1423"/>
              <w:gridCol w:w="1423"/>
              <w:gridCol w:w="1424"/>
            </w:tblGrid>
            <w:tr w:rsidR="00D234FB" w:rsidRPr="003F742A" w14:paraId="7BD67C42" w14:textId="77777777" w:rsidTr="00746755">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7882C4F"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1</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E18C8F0"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2</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7E16ACA"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3</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DCAABC9"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4</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32D2725"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5</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6438A36"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6</w:t>
                  </w:r>
                </w:p>
              </w:tc>
              <w:tc>
                <w:tcPr>
                  <w:tcW w:w="142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365F91" w:themeFill="accent1" w:themeFillShade="BF"/>
                </w:tcPr>
                <w:p w14:paraId="581A164D" w14:textId="77777777" w:rsidR="00D234FB" w:rsidRPr="003F742A" w:rsidRDefault="00D234FB" w:rsidP="00746755">
                  <w:pPr>
                    <w:tabs>
                      <w:tab w:val="left" w:pos="6400"/>
                    </w:tabs>
                    <w:jc w:val="center"/>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t>7</w:t>
                  </w:r>
                </w:p>
              </w:tc>
            </w:tr>
          </w:tbl>
          <w:p w14:paraId="6E69EC9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Rischio più basso                                                                                                                                              Rischio più alto</w:t>
            </w:r>
          </w:p>
          <w:p w14:paraId="70A5ECA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rPr>
              <mc:AlternateContent>
                <mc:Choice Requires="wps">
                  <w:drawing>
                    <wp:anchor distT="0" distB="0" distL="114300" distR="114300" simplePos="0" relativeHeight="251659264" behindDoc="0" locked="0" layoutInCell="1" allowOverlap="1" wp14:anchorId="43F65C40" wp14:editId="5D3DD0A6">
                      <wp:simplePos x="0" y="0"/>
                      <wp:positionH relativeFrom="column">
                        <wp:posOffset>110</wp:posOffset>
                      </wp:positionH>
                      <wp:positionV relativeFrom="paragraph">
                        <wp:posOffset>29569</wp:posOffset>
                      </wp:positionV>
                      <wp:extent cx="6337190" cy="0"/>
                      <wp:effectExtent l="57150" t="76200" r="26035" b="133350"/>
                      <wp:wrapNone/>
                      <wp:docPr id="1" name="Connettore diritto 1"/>
                      <wp:cNvGraphicFramePr/>
                      <a:graphic xmlns:a="http://schemas.openxmlformats.org/drawingml/2006/main">
                        <a:graphicData uri="http://schemas.microsoft.com/office/word/2010/wordprocessingShape">
                          <wps:wsp>
                            <wps:cNvCnPr/>
                            <wps:spPr>
                              <a:xfrm>
                                <a:off x="0" y="0"/>
                                <a:ext cx="6337190" cy="0"/>
                              </a:xfrm>
                              <a:prstGeom prst="line">
                                <a:avLst/>
                              </a:prstGeom>
                              <a:ln w="25400" cmpd="sng">
                                <a:solidFill>
                                  <a:schemeClr val="accent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D451A9"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35pt" to="49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" strokecolor="#4f81bd [3204]" strokeweight="2pt">
                      <v:stroke startarrow="block" endarrow="block"/>
                      <v:shadow on="t" color="black" opacity="24903f" origin=",.5" offset="0,.55556mm"/>
                    </v:line>
                  </w:pict>
                </mc:Fallback>
              </mc:AlternateContent>
            </w:r>
          </w:p>
          <w:p w14:paraId="28751C30" w14:textId="77777777" w:rsidR="008834A8"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2FC71C9A" w14:textId="77777777" w:rsidR="00D234FB" w:rsidRPr="003F742A"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mc:AlternateContent>
                <mc:Choice Requires="wps">
                  <w:drawing>
                    <wp:anchor distT="45720" distB="45720" distL="114300" distR="114300" simplePos="0" relativeHeight="251660288" behindDoc="0" locked="0" layoutInCell="1" allowOverlap="1" wp14:anchorId="277A627F" wp14:editId="1D217516">
                      <wp:simplePos x="0" y="0"/>
                      <wp:positionH relativeFrom="column">
                        <wp:posOffset>1248031</wp:posOffset>
                      </wp:positionH>
                      <wp:positionV relativeFrom="paragraph">
                        <wp:posOffset>126975</wp:posOffset>
                      </wp:positionV>
                      <wp:extent cx="5064125" cy="1404620"/>
                      <wp:effectExtent l="0" t="0" r="22225" b="184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125" cy="1404620"/>
                              </a:xfrm>
                              <a:prstGeom prst="rect">
                                <a:avLst/>
                              </a:prstGeom>
                              <a:solidFill>
                                <a:schemeClr val="bg1">
                                  <a:lumMod val="95000"/>
                                </a:schemeClr>
                              </a:solidFill>
                              <a:ln w="12700">
                                <a:solidFill>
                                  <a:schemeClr val="accent1"/>
                                </a:solidFill>
                                <a:miter lim="800000"/>
                                <a:headEnd/>
                                <a:tailEnd/>
                              </a:ln>
                            </wps:spPr>
                            <wps:txbx>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7A627F" id="_x0000_t202" coordsize="21600,21600" o:spt="202" path="m,l,21600r21600,l21600,xe">
                      <v:stroke joinstyle="miter"/>
                      <v:path gradientshapeok="t" o:connecttype="rect"/>
                    </v:shapetype>
                    <v:shape id="Casella di testo 2" o:spid="_x0000_s1026" type="#_x0000_t202" style="position:absolute;left:0;text-align:left;margin-left:98.25pt;margin-top:10pt;width:398.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" fillcolor="#f2f2f2 [3052]" strokecolor="#4f81bd [3204]" strokeweight="1pt">
                      <v:textbox style="mso-fit-shape-to-text:t">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v:textbox>
                      <w10:wrap type="square"/>
                    </v:shape>
                  </w:pict>
                </mc:Fallback>
              </mc:AlternateContent>
            </w:r>
          </w:p>
          <w:p w14:paraId="04A11E82" w14:textId="77777777" w:rsidR="00D234FB" w:rsidRPr="003F742A" w:rsidRDefault="008834A8" w:rsidP="00746755">
            <w:pPr>
              <w:tabs>
                <w:tab w:val="left" w:pos="6400"/>
              </w:tabs>
              <w:ind w:left="171"/>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w:drawing>
                <wp:inline distT="0" distB="0" distL="0" distR="0" wp14:anchorId="27958364" wp14:editId="2DDE6839">
                  <wp:extent cx="731520" cy="620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264" cy="626988"/>
                          </a:xfrm>
                          <a:prstGeom prst="rect">
                            <a:avLst/>
                          </a:prstGeom>
                          <a:noFill/>
                          <a:ln>
                            <a:noFill/>
                          </a:ln>
                        </pic:spPr>
                      </pic:pic>
                    </a:graphicData>
                  </a:graphic>
                </wp:inline>
              </w:drawing>
            </w:r>
          </w:p>
          <w:p w14:paraId="341C1D8B" w14:textId="77777777" w:rsidR="00C477F6" w:rsidRDefault="00C477F6" w:rsidP="00746755">
            <w:pPr>
              <w:tabs>
                <w:tab w:val="left" w:pos="6400"/>
              </w:tabs>
              <w:jc w:val="both"/>
              <w:rPr>
                <w:rFonts w:asciiTheme="majorHAnsi" w:hAnsiTheme="majorHAnsi" w:cstheme="majorHAnsi"/>
                <w:sz w:val="20"/>
                <w:szCs w:val="20"/>
              </w:rPr>
            </w:pPr>
          </w:p>
          <w:p w14:paraId="5F884023" w14:textId="77777777" w:rsidR="00D81527" w:rsidRDefault="00D81527" w:rsidP="00746755">
            <w:pPr>
              <w:tabs>
                <w:tab w:val="left" w:pos="6400"/>
              </w:tabs>
              <w:jc w:val="both"/>
              <w:rPr>
                <w:rFonts w:asciiTheme="majorHAnsi" w:hAnsiTheme="majorHAnsi" w:cstheme="majorHAnsi"/>
                <w:sz w:val="20"/>
                <w:szCs w:val="20"/>
              </w:rPr>
            </w:pPr>
          </w:p>
          <w:p w14:paraId="35A63FCE" w14:textId="72B9DE0B" w:rsidR="00D234FB"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lastRenderedPageBreak/>
              <w:t xml:space="preserve">L'indicatore sintetico di rischio è un'indicazione orientativa del livello di rischio di questo prodotto rispetto ad altri prodotti. Esso esprime il rischio che il prodotto possa subire perdite monetarie a causa di movimenti sul mercato o a causa della incapacità della Banca di pagare quanto dovuto. Abbiamo classificato questo prodotto al livello 7 su 7, che corrisponde alla classe di rischio più alta. Questo significa che, in caso di andamento sfavorevole del mercato, il cliente può incorrere in perdite significative. </w:t>
            </w:r>
            <w:r w:rsidR="00B9386A">
              <w:rPr>
                <w:rFonts w:asciiTheme="majorHAnsi" w:hAnsiTheme="majorHAnsi" w:cstheme="majorHAnsi"/>
                <w:sz w:val="20"/>
                <w:szCs w:val="20"/>
              </w:rPr>
              <w:t xml:space="preserve">  </w:t>
            </w:r>
            <w:r w:rsidR="00102343" w:rsidRPr="007C4817">
              <w:rPr>
                <w:rFonts w:asciiTheme="majorHAnsi" w:hAnsiTheme="majorHAnsi" w:cstheme="majorHAnsi"/>
                <w:sz w:val="20"/>
                <w:szCs w:val="20"/>
              </w:rPr>
              <w:t xml:space="preserve"> Non è richiesto un investimento iniziale. In caso di estinzione anticipata del prodotto il cliente è tenuto ad effettuare i</w:t>
            </w:r>
            <w:r w:rsidR="006E7AAF">
              <w:rPr>
                <w:rFonts w:asciiTheme="majorHAnsi" w:hAnsiTheme="majorHAnsi" w:cstheme="majorHAnsi"/>
                <w:sz w:val="20"/>
                <w:szCs w:val="20"/>
              </w:rPr>
              <w:t>l pagamento specificato</w:t>
            </w:r>
            <w:r w:rsidR="00102343" w:rsidRPr="007C4817">
              <w:rPr>
                <w:rFonts w:asciiTheme="majorHAnsi" w:hAnsiTheme="majorHAnsi" w:cstheme="majorHAnsi"/>
                <w:sz w:val="20"/>
                <w:szCs w:val="20"/>
              </w:rPr>
              <w:t xml:space="preserve"> nella sezione 'Per quanto tempo devo detenerlo? Posso ritirare il capitale prematuramente?'.</w:t>
            </w:r>
          </w:p>
          <w:p w14:paraId="45EA814D"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Scenari di performance</w:t>
            </w:r>
          </w:p>
          <w:tbl>
            <w:tblPr>
              <w:tblStyle w:val="Tabellagriglia2-colore11"/>
              <w:tblW w:w="9818" w:type="dxa"/>
              <w:tblLook w:val="04A0" w:firstRow="1" w:lastRow="0" w:firstColumn="1" w:lastColumn="0" w:noHBand="0" w:noVBand="1"/>
            </w:tblPr>
            <w:tblGrid>
              <w:gridCol w:w="2155"/>
              <w:gridCol w:w="3828"/>
              <w:gridCol w:w="3827"/>
              <w:gridCol w:w="8"/>
            </w:tblGrid>
            <w:tr w:rsidR="00D234FB" w:rsidRPr="00521D0D" w14:paraId="5638E731"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8" w:type="dxa"/>
                  <w:gridSpan w:val="4"/>
                </w:tcPr>
                <w:p w14:paraId="506F3B0B" w14:textId="56602614"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IMPORTO NOZIONALE</w:t>
                  </w:r>
                  <w:r w:rsidRPr="00521D0D">
                    <w:rPr>
                      <w:rStyle w:val="Rimandonotaapidipagina"/>
                      <w:rFonts w:asciiTheme="majorHAnsi" w:hAnsiTheme="majorHAnsi" w:cstheme="majorHAnsi"/>
                      <w:sz w:val="20"/>
                      <w:szCs w:val="20"/>
                    </w:rPr>
                    <w:footnoteReference w:id="1"/>
                  </w:r>
                  <w:r w:rsidRPr="00521D0D">
                    <w:rPr>
                      <w:rFonts w:asciiTheme="majorHAnsi" w:hAnsiTheme="majorHAnsi" w:cstheme="majorHAnsi"/>
                      <w:sz w:val="20"/>
                      <w:szCs w:val="20"/>
                    </w:rPr>
                    <w:t xml:space="preserve"> EUR 10.000</w:t>
                  </w:r>
                  <w:r w:rsidR="00D517A9">
                    <w:rPr>
                      <w:rFonts w:asciiTheme="majorHAnsi" w:hAnsiTheme="majorHAnsi" w:cstheme="majorHAnsi"/>
                      <w:sz w:val="20"/>
                      <w:szCs w:val="20"/>
                    </w:rPr>
                    <w:t xml:space="preserve"> scadenza contrattuale 9</w:t>
                  </w:r>
                  <w:r w:rsidR="00C477F6">
                    <w:rPr>
                      <w:rFonts w:asciiTheme="majorHAnsi" w:hAnsiTheme="majorHAnsi" w:cstheme="majorHAnsi"/>
                      <w:sz w:val="20"/>
                      <w:szCs w:val="20"/>
                    </w:rPr>
                    <w:t xml:space="preserve"> mesi </w:t>
                  </w:r>
                </w:p>
              </w:tc>
            </w:tr>
            <w:tr w:rsidR="00D234FB" w:rsidRPr="00521D0D" w14:paraId="1E9195C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00A269B"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3828" w:type="dxa"/>
                </w:tcPr>
                <w:p w14:paraId="0077E00E" w14:textId="77777777" w:rsidR="00D234FB" w:rsidRPr="00521D0D"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p>
              </w:tc>
              <w:tc>
                <w:tcPr>
                  <w:tcW w:w="3827" w:type="dxa"/>
                </w:tcPr>
                <w:p w14:paraId="11DB211A" w14:textId="308F9A4A" w:rsidR="00D234FB" w:rsidRPr="00521D0D" w:rsidRDefault="00D517A9"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9</w:t>
                  </w:r>
                  <w:r w:rsidR="00D234FB"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 xml:space="preserve"> mesi (Periodo di detenzione raccomandato)</w:t>
                  </w:r>
                </w:p>
              </w:tc>
            </w:tr>
            <w:tr w:rsidR="00D234FB" w:rsidRPr="00521D0D" w14:paraId="290380B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522B9C2A"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di stress</w:t>
                  </w:r>
                </w:p>
              </w:tc>
              <w:tc>
                <w:tcPr>
                  <w:tcW w:w="3828" w:type="dxa"/>
                </w:tcPr>
                <w:p w14:paraId="6E12E78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649670E" w14:textId="5C0D1608"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7F789D">
                    <w:rPr>
                      <w:rFonts w:asciiTheme="majorHAnsi" w:eastAsia="Times New Roman" w:hAnsiTheme="majorHAnsi" w:cstheme="majorHAnsi"/>
                      <w:b/>
                      <w:color w:val="365F91" w:themeColor="accent1" w:themeShade="BF"/>
                      <w:kern w:val="20"/>
                      <w:sz w:val="20"/>
                      <w:szCs w:val="20"/>
                      <w:lang w:eastAsia="en-US"/>
                    </w:rPr>
                    <w:t>4.422,31</w:t>
                  </w:r>
                </w:p>
              </w:tc>
            </w:tr>
            <w:tr w:rsidR="00D234FB" w:rsidRPr="00521D0D" w14:paraId="6684B36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66CE2C4"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A44323A"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45479750" w14:textId="2FFC5020"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-4</w:t>
                  </w:r>
                  <w:r w:rsidR="00725B1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4</w:t>
                  </w:r>
                  <w:r w:rsidR="007F789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,22</w:t>
                  </w: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132E50A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BE33A02"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Scenario sfavorevole</w:t>
                  </w:r>
                </w:p>
              </w:tc>
              <w:tc>
                <w:tcPr>
                  <w:tcW w:w="3828" w:type="dxa"/>
                </w:tcPr>
                <w:p w14:paraId="27350C0F"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391C712B" w14:textId="6287492B"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7F789D">
                    <w:rPr>
                      <w:rFonts w:asciiTheme="majorHAnsi" w:eastAsia="Times New Roman" w:hAnsiTheme="majorHAnsi" w:cstheme="majorHAnsi"/>
                      <w:b/>
                      <w:color w:val="365F91" w:themeColor="accent1" w:themeShade="BF"/>
                      <w:kern w:val="20"/>
                      <w:sz w:val="20"/>
                      <w:szCs w:val="20"/>
                      <w:lang w:eastAsia="en-US"/>
                    </w:rPr>
                    <w:t>1.639,54</w:t>
                  </w:r>
                </w:p>
              </w:tc>
            </w:tr>
            <w:tr w:rsidR="00D234FB" w:rsidRPr="00521D0D" w14:paraId="172D6288"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2D985F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DF61AE5"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057290E5" w14:textId="085F838C"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sidR="007F789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16,40</w:t>
                  </w: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0682DE9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4329BDDE"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moderato</w:t>
                  </w:r>
                </w:p>
              </w:tc>
              <w:tc>
                <w:tcPr>
                  <w:tcW w:w="3828" w:type="dxa"/>
                </w:tcPr>
                <w:p w14:paraId="3365CBE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34C7073" w14:textId="4F219E68"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w:t>
                  </w:r>
                  <w:r w:rsidR="007F789D">
                    <w:rPr>
                      <w:rFonts w:asciiTheme="majorHAnsi" w:eastAsia="Times New Roman" w:hAnsiTheme="majorHAnsi" w:cstheme="majorHAnsi"/>
                      <w:b/>
                      <w:color w:val="365F91" w:themeColor="accent1" w:themeShade="BF"/>
                      <w:kern w:val="20"/>
                      <w:sz w:val="20"/>
                      <w:szCs w:val="20"/>
                      <w:lang w:eastAsia="en-US"/>
                    </w:rPr>
                    <w:t xml:space="preserve"> -</w:t>
                  </w:r>
                  <w:r w:rsidRPr="006C45B5">
                    <w:rPr>
                      <w:rFonts w:asciiTheme="majorHAnsi" w:eastAsia="Times New Roman" w:hAnsiTheme="majorHAnsi" w:cstheme="majorHAnsi"/>
                      <w:b/>
                      <w:color w:val="365F91" w:themeColor="accent1" w:themeShade="BF"/>
                      <w:kern w:val="20"/>
                      <w:sz w:val="20"/>
                      <w:szCs w:val="20"/>
                      <w:lang w:eastAsia="en-US"/>
                    </w:rPr>
                    <w:t xml:space="preserve"> </w:t>
                  </w:r>
                  <w:r w:rsidR="007F789D">
                    <w:rPr>
                      <w:rFonts w:asciiTheme="majorHAnsi" w:eastAsia="Times New Roman" w:hAnsiTheme="majorHAnsi" w:cstheme="majorHAnsi"/>
                      <w:b/>
                      <w:color w:val="365F91" w:themeColor="accent1" w:themeShade="BF"/>
                      <w:kern w:val="20"/>
                      <w:sz w:val="20"/>
                      <w:szCs w:val="20"/>
                      <w:lang w:eastAsia="en-US"/>
                    </w:rPr>
                    <w:t>611,91</w:t>
                  </w:r>
                </w:p>
              </w:tc>
            </w:tr>
            <w:tr w:rsidR="00D234FB" w:rsidRPr="00521D0D" w14:paraId="00925CA5"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5A14501"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76E11984"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349CDB35" w14:textId="3117A6D5" w:rsidR="00D234FB" w:rsidRPr="006C45B5" w:rsidRDefault="007F789D"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- 6,12</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6C255AF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9F8D7FF"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 xml:space="preserve">Scenario </w:t>
                  </w:r>
                  <w:r>
                    <w:rPr>
                      <w:rFonts w:asciiTheme="majorHAnsi" w:eastAsia="Times New Roman" w:hAnsiTheme="majorHAnsi" w:cstheme="majorHAnsi"/>
                      <w:bCs w:val="0"/>
                      <w:color w:val="365F91" w:themeColor="accent1" w:themeShade="BF"/>
                      <w:kern w:val="20"/>
                      <w:sz w:val="20"/>
                      <w:szCs w:val="20"/>
                      <w:lang w:eastAsia="en-US"/>
                    </w:rPr>
                    <w:t>favorevole</w:t>
                  </w:r>
                </w:p>
              </w:tc>
              <w:tc>
                <w:tcPr>
                  <w:tcW w:w="3828" w:type="dxa"/>
                </w:tcPr>
                <w:p w14:paraId="2A831201"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01567078" w14:textId="70113CBD"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7F789D">
                    <w:rPr>
                      <w:rFonts w:asciiTheme="majorHAnsi" w:eastAsia="Times New Roman" w:hAnsiTheme="majorHAnsi" w:cstheme="majorHAnsi"/>
                      <w:b/>
                      <w:color w:val="365F91" w:themeColor="accent1" w:themeShade="BF"/>
                      <w:kern w:val="20"/>
                      <w:sz w:val="20"/>
                      <w:szCs w:val="20"/>
                      <w:lang w:eastAsia="en-US"/>
                    </w:rPr>
                    <w:t>352,14</w:t>
                  </w:r>
                </w:p>
              </w:tc>
            </w:tr>
            <w:tr w:rsidR="00D234FB" w:rsidRPr="00521D0D" w14:paraId="339B18C3"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0205E42"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24CCFC8B"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67012FFE" w14:textId="2E02A96F" w:rsidR="00D234FB" w:rsidRPr="006C45B5" w:rsidRDefault="007F789D"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3,52</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6011C37C" w14:textId="2CF6FF8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Questa tabella mostra diversi possibili scenari di performance del prodotto alla sua </w:t>
            </w:r>
            <w:r w:rsidR="00B96895">
              <w:rPr>
                <w:rFonts w:asciiTheme="majorHAnsi" w:hAnsiTheme="majorHAnsi" w:cstheme="majorHAnsi"/>
                <w:sz w:val="20"/>
                <w:szCs w:val="20"/>
              </w:rPr>
              <w:t>d</w:t>
            </w:r>
            <w:r w:rsidRPr="00025A40">
              <w:rPr>
                <w:rFonts w:asciiTheme="majorHAnsi" w:hAnsiTheme="majorHAnsi" w:cstheme="majorHAnsi"/>
                <w:sz w:val="20"/>
                <w:szCs w:val="20"/>
              </w:rPr>
              <w:t xml:space="preserve">ata di </w:t>
            </w:r>
            <w:r w:rsidR="00B96895">
              <w:rPr>
                <w:rFonts w:asciiTheme="majorHAnsi" w:hAnsiTheme="majorHAnsi" w:cstheme="majorHAnsi"/>
                <w:sz w:val="20"/>
                <w:szCs w:val="20"/>
              </w:rPr>
              <w:t>s</w:t>
            </w:r>
            <w:r w:rsidRPr="00025A40">
              <w:rPr>
                <w:rFonts w:asciiTheme="majorHAnsi" w:hAnsiTheme="majorHAnsi" w:cstheme="majorHAnsi"/>
                <w:sz w:val="20"/>
                <w:szCs w:val="20"/>
              </w:rPr>
              <w:t>cadenza</w:t>
            </w:r>
            <w:r w:rsidR="00C477F6" w:rsidRPr="00025A40">
              <w:rPr>
                <w:rFonts w:asciiTheme="majorHAnsi" w:hAnsiTheme="majorHAnsi" w:cstheme="majorHAnsi"/>
                <w:sz w:val="20"/>
                <w:szCs w:val="20"/>
              </w:rPr>
              <w:t xml:space="preserve"> contrattuale</w:t>
            </w:r>
            <w:r w:rsidRPr="003F742A">
              <w:rPr>
                <w:rFonts w:asciiTheme="majorHAnsi" w:hAnsiTheme="majorHAnsi" w:cstheme="majorHAnsi"/>
                <w:sz w:val="20"/>
                <w:szCs w:val="20"/>
              </w:rPr>
              <w:t xml:space="preserve">, in scenari diversi, ipotizzando un importo nozionale di Euro 10.000. Gli scenari presentati possono essere confrontati con gli scenari di altri prodotti e sono una stima della performance futura sulla base di prove relative alle variazioni storiche e non sono un indicatore esatto. Gli importi dei rimborsi varieranno a seconda della performance e dell’attività di riferimento del sottostante e del periodo di tempo per cui è mantenuto il prodotto. Lo scenario di stress indica quale potrebbe essere </w:t>
            </w:r>
            <w:r w:rsidRPr="006C45B5">
              <w:rPr>
                <w:rFonts w:asciiTheme="majorHAnsi" w:hAnsiTheme="majorHAnsi" w:cstheme="majorHAnsi"/>
                <w:sz w:val="20"/>
                <w:szCs w:val="20"/>
              </w:rPr>
              <w:t>l'importo valorizzato in</w:t>
            </w:r>
            <w:r w:rsidRPr="003F742A">
              <w:rPr>
                <w:rFonts w:asciiTheme="majorHAnsi" w:hAnsiTheme="majorHAnsi" w:cstheme="majorHAnsi"/>
                <w:sz w:val="20"/>
                <w:szCs w:val="20"/>
              </w:rPr>
              <w:t xml:space="preserve"> circostanze di mercato estreme </w:t>
            </w:r>
            <w:r w:rsidRPr="00C135D5">
              <w:rPr>
                <w:rFonts w:asciiTheme="majorHAnsi" w:hAnsiTheme="majorHAnsi" w:cstheme="majorHAnsi"/>
                <w:sz w:val="20"/>
                <w:szCs w:val="20"/>
              </w:rPr>
              <w:t xml:space="preserve">e non tiene conto delle ipotesi di cui alla sezione successiva. </w:t>
            </w:r>
            <w:r w:rsidRPr="003F742A">
              <w:rPr>
                <w:rFonts w:asciiTheme="majorHAnsi" w:hAnsiTheme="majorHAnsi" w:cstheme="majorHAnsi"/>
                <w:sz w:val="20"/>
                <w:szCs w:val="20"/>
              </w:rPr>
              <w:t>L’estinzione anticipata potrebbe non essere possibile o essere effettuata a condizioni significativamente penalizzanti. Le cifre riportate comprendono tutti i costi del prodotto in quanto tale. Le cifre non tengono conto della vostra situazione fiscale personale, che può incidere anch'essa sull'importo del rimborso.</w:t>
            </w:r>
          </w:p>
        </w:tc>
      </w:tr>
      <w:tr w:rsidR="00D234FB" w:rsidRPr="003F742A" w14:paraId="15AA0D89" w14:textId="77777777" w:rsidTr="00EB33A8">
        <w:tc>
          <w:tcPr>
            <w:tcW w:w="10335" w:type="dxa"/>
            <w:shd w:val="clear" w:color="auto" w:fill="D9D9D9" w:themeFill="background1" w:themeFillShade="D9"/>
          </w:tcPr>
          <w:p w14:paraId="29D96FFD"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COSA ACCADE SE BANCA IFIS NON È IN GRADO DI CORRISPONDERE QUANTO DOVUTO?</w:t>
            </w:r>
          </w:p>
        </w:tc>
      </w:tr>
      <w:tr w:rsidR="00D234FB" w:rsidRPr="003F742A" w14:paraId="28974913" w14:textId="77777777" w:rsidTr="00EB33A8">
        <w:tc>
          <w:tcPr>
            <w:tcW w:w="10335" w:type="dxa"/>
            <w:shd w:val="clear" w:color="auto" w:fill="auto"/>
          </w:tcPr>
          <w:p w14:paraId="37D6055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In caso di risoluzione della Banca, nell’ipotesi di salvataggio della Banca stessa attraverso risorse interne, c.d. “bail – in”, si specifica che ai sensi dell’art. 54 del Decreto </w:t>
            </w:r>
            <w:proofErr w:type="spellStart"/>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lgs</w:t>
            </w:r>
            <w:proofErr w:type="spellEnd"/>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180/2015, una passività risultante da un derivato è soggetta a tale strumento di risoluzione solo al momento dell’interruzione dei rapporti e pagamento del saldo netto </w:t>
            </w:r>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del derivato o successivamente ad esso. A tal fine, salva l'applicazione dell'articolo 49, comma 2, la Banca d'Italia dispone che qualsiasi contratto derivato da cui risulti una passività oggetto di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bail</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 in</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sia sciolto e liquidato per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ai sensi dell'articolo 60, comma 1, lettera l) del sopracitato decreto.</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Si precisa, inoltre, che Banca IFIS ha aderito al Fondo Nazionale di Garanzia con decorrenza 6 giugno 2017. Il Fondo indennizza gli investitori, entro il limite di importo di euro 20.000, per i crediti derivanti dalla mancata restituzione integrale o parziale del denaro e/o degli strumenti finanziari o del loro controvalore, vantati - per la prestazione dei servizi e attività di investimento - nei confronti della Banca, nel caso di liquidazione coatta amministrativa. L’indennizzo del Fondo si commisura, per ciascun investitore, all’importo complessivo dei crediti ammessi allo stato passivo, diminuito dell’importo degli eventuali riparti parziali effettuati dagli organi della procedura concorsuale.</w:t>
            </w:r>
          </w:p>
        </w:tc>
      </w:tr>
    </w:tbl>
    <w:p w14:paraId="4FA3B071" w14:textId="77777777" w:rsidR="00D81527" w:rsidRDefault="00D81527">
      <w:r>
        <w:br w:type="page"/>
      </w:r>
    </w:p>
    <w:tbl>
      <w:tblPr>
        <w:tblStyle w:val="Grigliatabella"/>
        <w:tblW w:w="0" w:type="auto"/>
        <w:tblInd w:w="-147" w:type="dxa"/>
        <w:tblLook w:val="04A0" w:firstRow="1" w:lastRow="0" w:firstColumn="1" w:lastColumn="0" w:noHBand="0" w:noVBand="1"/>
      </w:tblPr>
      <w:tblGrid>
        <w:gridCol w:w="10335"/>
      </w:tblGrid>
      <w:tr w:rsidR="00D234FB" w:rsidRPr="003F742A" w14:paraId="4810A710" w14:textId="77777777" w:rsidTr="00EB33A8">
        <w:tc>
          <w:tcPr>
            <w:tcW w:w="10335" w:type="dxa"/>
            <w:shd w:val="clear" w:color="auto" w:fill="D9D9D9" w:themeFill="background1" w:themeFillShade="D9"/>
          </w:tcPr>
          <w:p w14:paraId="4EDB2469" w14:textId="207550A6"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QUALI SONO I COSTI?</w:t>
            </w:r>
          </w:p>
        </w:tc>
      </w:tr>
      <w:tr w:rsidR="00D234FB" w:rsidRPr="003F742A" w14:paraId="5A2C428C" w14:textId="77777777" w:rsidTr="00EB33A8">
        <w:tc>
          <w:tcPr>
            <w:tcW w:w="10335" w:type="dxa"/>
            <w:tcBorders>
              <w:bottom w:val="nil"/>
            </w:tcBorders>
            <w:shd w:val="clear" w:color="auto" w:fill="auto"/>
          </w:tcPr>
          <w:p w14:paraId="41E5DF43"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La diminuzione del rendimento (</w:t>
            </w:r>
            <w:proofErr w:type="spellStart"/>
            <w:r w:rsidRPr="003F742A">
              <w:rPr>
                <w:rFonts w:asciiTheme="majorHAnsi" w:hAnsiTheme="majorHAnsi" w:cstheme="majorHAnsi"/>
                <w:sz w:val="20"/>
                <w:szCs w:val="20"/>
              </w:rPr>
              <w:t>Reduction</w:t>
            </w:r>
            <w:proofErr w:type="spellEnd"/>
            <w:r w:rsidRPr="003F742A">
              <w:rPr>
                <w:rFonts w:asciiTheme="majorHAnsi" w:hAnsiTheme="majorHAnsi" w:cstheme="majorHAnsi"/>
                <w:sz w:val="20"/>
                <w:szCs w:val="20"/>
              </w:rPr>
              <w:t xml:space="preserve"> in </w:t>
            </w:r>
            <w:proofErr w:type="spellStart"/>
            <w:r w:rsidRPr="003F742A">
              <w:rPr>
                <w:rFonts w:asciiTheme="majorHAnsi" w:hAnsiTheme="majorHAnsi" w:cstheme="majorHAnsi"/>
                <w:sz w:val="20"/>
                <w:szCs w:val="20"/>
              </w:rPr>
              <w:t>Yield</w:t>
            </w:r>
            <w:proofErr w:type="spellEnd"/>
            <w:r w:rsidRPr="003F742A">
              <w:rPr>
                <w:rFonts w:asciiTheme="majorHAnsi" w:hAnsiTheme="majorHAnsi" w:cstheme="majorHAnsi"/>
                <w:sz w:val="20"/>
                <w:szCs w:val="20"/>
              </w:rPr>
              <w:t xml:space="preserve"> — RIY) esprime l'impatto dei costi totali sostenuti sul possibile rendimento dell'investimento. I costi totali tengono conto dei costi una tantum, ricorrenti e accessori. Gli importi qui riportati corrispondono ai costi cumulativi del prodotto e</w:t>
            </w:r>
            <w:r w:rsidR="00352CDB">
              <w:rPr>
                <w:rFonts w:asciiTheme="majorHAnsi" w:hAnsiTheme="majorHAnsi" w:cstheme="majorHAnsi"/>
                <w:sz w:val="20"/>
                <w:szCs w:val="20"/>
              </w:rPr>
              <w:t xml:space="preserve"> non</w:t>
            </w:r>
            <w:r w:rsidRPr="003F742A">
              <w:rPr>
                <w:rFonts w:asciiTheme="majorHAnsi" w:hAnsiTheme="majorHAnsi" w:cstheme="majorHAnsi"/>
                <w:sz w:val="20"/>
                <w:szCs w:val="20"/>
              </w:rPr>
              <w:t xml:space="preserve"> comprendono </w:t>
            </w:r>
            <w:r w:rsidR="00093ADD">
              <w:rPr>
                <w:rFonts w:asciiTheme="majorHAnsi" w:hAnsiTheme="majorHAnsi" w:cstheme="majorHAnsi"/>
                <w:sz w:val="20"/>
                <w:szCs w:val="20"/>
              </w:rPr>
              <w:t>i costi che la B</w:t>
            </w:r>
            <w:r w:rsidR="00C477F6">
              <w:rPr>
                <w:rFonts w:asciiTheme="majorHAnsi" w:hAnsiTheme="majorHAnsi" w:cstheme="majorHAnsi"/>
                <w:sz w:val="20"/>
                <w:szCs w:val="20"/>
              </w:rPr>
              <w:t xml:space="preserve">anca potrebbe applicare </w:t>
            </w:r>
            <w:r w:rsidRPr="003F742A">
              <w:rPr>
                <w:rFonts w:asciiTheme="majorHAnsi" w:hAnsiTheme="majorHAnsi" w:cstheme="majorHAnsi"/>
                <w:sz w:val="20"/>
                <w:szCs w:val="20"/>
              </w:rPr>
              <w:t xml:space="preserve">per </w:t>
            </w:r>
            <w:r w:rsidR="00C477F6">
              <w:rPr>
                <w:rFonts w:asciiTheme="majorHAnsi" w:hAnsiTheme="majorHAnsi" w:cstheme="majorHAnsi"/>
                <w:sz w:val="20"/>
                <w:szCs w:val="20"/>
              </w:rPr>
              <w:t>l’</w:t>
            </w:r>
            <w:r w:rsidRPr="003F742A">
              <w:rPr>
                <w:rFonts w:asciiTheme="majorHAnsi" w:hAnsiTheme="majorHAnsi" w:cstheme="majorHAnsi"/>
                <w:sz w:val="20"/>
                <w:szCs w:val="20"/>
              </w:rPr>
              <w:t>uscita anticipata. Questi importi si basano sull'ipotesi che l’importo nozionale</w:t>
            </w:r>
            <w:r w:rsidRPr="003F742A">
              <w:rPr>
                <w:rStyle w:val="Rimandonotaapidipagina"/>
                <w:rFonts w:asciiTheme="majorHAnsi" w:hAnsiTheme="majorHAnsi" w:cstheme="majorHAnsi"/>
                <w:sz w:val="20"/>
                <w:szCs w:val="20"/>
              </w:rPr>
              <w:footnoteReference w:id="2"/>
            </w:r>
            <w:r w:rsidRPr="003F742A">
              <w:rPr>
                <w:rFonts w:asciiTheme="majorHAnsi" w:hAnsiTheme="majorHAnsi" w:cstheme="majorHAnsi"/>
                <w:sz w:val="20"/>
                <w:szCs w:val="20"/>
              </w:rPr>
              <w:t xml:space="preserve"> sia Euro 10.000. Gli importi sono stimati e potrebbero cambiare in futuro.</w:t>
            </w:r>
          </w:p>
          <w:p w14:paraId="2D61359E" w14:textId="6A51E060"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bookmarkStart w:id="0" w:name="_GoBack"/>
            <w:bookmarkEnd w:id="0"/>
            <w:r w:rsidRPr="003F742A">
              <w:rPr>
                <w:rFonts w:asciiTheme="majorHAnsi" w:eastAsia="Times New Roman" w:hAnsiTheme="majorHAnsi" w:cstheme="majorHAnsi"/>
                <w:b/>
                <w:color w:val="365F91" w:themeColor="accent1" w:themeShade="BF"/>
                <w:kern w:val="20"/>
                <w:sz w:val="20"/>
                <w:szCs w:val="20"/>
                <w:lang w:eastAsia="en-US"/>
              </w:rPr>
              <w:t>Andamento dei costi nel tempo</w:t>
            </w:r>
          </w:p>
          <w:tbl>
            <w:tblPr>
              <w:tblStyle w:val="Tabellagriglia2-colore11"/>
              <w:tblW w:w="9952" w:type="dxa"/>
              <w:tblLook w:val="04A0" w:firstRow="1" w:lastRow="0" w:firstColumn="1" w:lastColumn="0" w:noHBand="0" w:noVBand="1"/>
            </w:tblPr>
            <w:tblGrid>
              <w:gridCol w:w="5132"/>
              <w:gridCol w:w="4820"/>
            </w:tblGrid>
            <w:tr w:rsidR="00D234FB" w:rsidRPr="00521D0D" w14:paraId="4F5231F3"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2" w:type="dxa"/>
                  <w:gridSpan w:val="2"/>
                </w:tcPr>
                <w:p w14:paraId="0552AA0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CAPITALE DI RIFERIMENTO EUR 10.000</w:t>
                  </w:r>
                </w:p>
              </w:tc>
            </w:tr>
            <w:tr w:rsidR="00D234FB" w:rsidRPr="00521D0D" w14:paraId="366749CB"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1F531BD5"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4820" w:type="dxa"/>
                </w:tcPr>
                <w:p w14:paraId="525F8B13" w14:textId="77777777" w:rsidR="00D234FB" w:rsidRPr="00521D0D"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In caso di disinvestimento alla Data di Scadenza</w:t>
                  </w:r>
                </w:p>
              </w:tc>
            </w:tr>
            <w:tr w:rsidR="00D234FB" w:rsidRPr="00521D0D" w14:paraId="0F583567" w14:textId="77777777" w:rsidTr="00746755">
              <w:tc>
                <w:tcPr>
                  <w:cnfStyle w:val="001000000000" w:firstRow="0" w:lastRow="0" w:firstColumn="1" w:lastColumn="0" w:oddVBand="0" w:evenVBand="0" w:oddHBand="0" w:evenHBand="0" w:firstRowFirstColumn="0" w:firstRowLastColumn="0" w:lastRowFirstColumn="0" w:lastRowLastColumn="0"/>
                  <w:tcW w:w="5132" w:type="dxa"/>
                </w:tcPr>
                <w:p w14:paraId="3386CE2F"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Costi totali</w:t>
                  </w:r>
                </w:p>
              </w:tc>
              <w:tc>
                <w:tcPr>
                  <w:tcW w:w="4820" w:type="dxa"/>
                </w:tcPr>
                <w:p w14:paraId="55A0A7F5" w14:textId="77777777" w:rsidR="00D234FB" w:rsidRPr="00521D0D"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
                      <w:color w:val="365F91" w:themeColor="accent1" w:themeShade="BF"/>
                      <w:kern w:val="20"/>
                      <w:sz w:val="20"/>
                      <w:szCs w:val="20"/>
                      <w:lang w:eastAsia="en-US"/>
                    </w:rPr>
                    <w:t xml:space="preserve">EUR </w:t>
                  </w:r>
                  <w:r>
                    <w:rPr>
                      <w:rFonts w:asciiTheme="majorHAnsi" w:eastAsia="Times New Roman" w:hAnsiTheme="majorHAnsi" w:cstheme="majorHAnsi"/>
                      <w:b/>
                      <w:color w:val="365F91" w:themeColor="accent1" w:themeShade="BF"/>
                      <w:kern w:val="20"/>
                      <w:sz w:val="20"/>
                      <w:szCs w:val="20"/>
                      <w:lang w:eastAsia="en-US"/>
                    </w:rPr>
                    <w:t>90</w:t>
                  </w:r>
                </w:p>
              </w:tc>
            </w:tr>
            <w:tr w:rsidR="00D234FB" w:rsidRPr="00521D0D" w14:paraId="690C3561"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46056A43"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Impatto sul rendimento (RIY) per anno</w:t>
                  </w:r>
                </w:p>
              </w:tc>
              <w:tc>
                <w:tcPr>
                  <w:tcW w:w="4820" w:type="dxa"/>
                </w:tcPr>
                <w:p w14:paraId="58CA6EDF" w14:textId="0E1F8203" w:rsidR="00D234FB" w:rsidRPr="00521D0D" w:rsidRDefault="007F789D"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9</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468B850"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Composizione dei costi: </w:t>
            </w:r>
          </w:p>
          <w:p w14:paraId="10738206"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 xml:space="preserve">La seguente tabella presenta: </w:t>
            </w:r>
            <w:r w:rsidR="00973757">
              <w:rPr>
                <w:rFonts w:asciiTheme="majorHAnsi" w:hAnsiTheme="majorHAnsi" w:cstheme="majorHAnsi"/>
                <w:sz w:val="20"/>
                <w:szCs w:val="20"/>
              </w:rPr>
              <w:t xml:space="preserve">a) </w:t>
            </w:r>
            <w:r w:rsidRPr="003F742A">
              <w:rPr>
                <w:rFonts w:asciiTheme="majorHAnsi" w:hAnsiTheme="majorHAnsi" w:cstheme="majorHAnsi"/>
                <w:sz w:val="20"/>
                <w:szCs w:val="20"/>
              </w:rPr>
              <w:t>l'impatto,</w:t>
            </w:r>
            <w:r w:rsidR="00A87D59">
              <w:rPr>
                <w:rFonts w:asciiTheme="majorHAnsi" w:hAnsiTheme="majorHAnsi" w:cstheme="majorHAnsi"/>
                <w:sz w:val="20"/>
                <w:szCs w:val="20"/>
              </w:rPr>
              <w:t xml:space="preserve"> </w:t>
            </w:r>
            <w:r w:rsidR="00725B10">
              <w:rPr>
                <w:rFonts w:asciiTheme="majorHAnsi" w:hAnsiTheme="majorHAnsi" w:cstheme="majorHAnsi"/>
                <w:sz w:val="20"/>
                <w:szCs w:val="20"/>
              </w:rPr>
              <w:t>su base annua</w:t>
            </w:r>
            <w:r w:rsidRPr="003F742A">
              <w:rPr>
                <w:rFonts w:asciiTheme="majorHAnsi" w:hAnsiTheme="majorHAnsi" w:cstheme="majorHAnsi"/>
                <w:sz w:val="20"/>
                <w:szCs w:val="20"/>
              </w:rPr>
              <w:t xml:space="preserve">, dei differenti tipi di costi sul possibile rendimento dell'investimento alla fine del periodo di detenzione raccomandato; </w:t>
            </w:r>
            <w:r w:rsidR="00973757">
              <w:rPr>
                <w:rFonts w:asciiTheme="majorHAnsi" w:hAnsiTheme="majorHAnsi" w:cstheme="majorHAnsi"/>
                <w:sz w:val="20"/>
                <w:szCs w:val="20"/>
              </w:rPr>
              <w:t>b)</w:t>
            </w:r>
            <w:r w:rsidRPr="003F742A">
              <w:rPr>
                <w:rFonts w:asciiTheme="majorHAnsi" w:hAnsiTheme="majorHAnsi" w:cstheme="majorHAnsi"/>
                <w:sz w:val="20"/>
                <w:szCs w:val="20"/>
              </w:rPr>
              <w:t xml:space="preserve"> il significato delle differenti categorie di costi.</w:t>
            </w:r>
          </w:p>
          <w:tbl>
            <w:tblPr>
              <w:tblStyle w:val="Tabellagriglia2-colore11"/>
              <w:tblW w:w="0" w:type="auto"/>
              <w:tblLook w:val="04A0" w:firstRow="1" w:lastRow="0" w:firstColumn="1" w:lastColumn="0" w:noHBand="0" w:noVBand="1"/>
            </w:tblPr>
            <w:tblGrid>
              <w:gridCol w:w="2019"/>
              <w:gridCol w:w="2835"/>
              <w:gridCol w:w="613"/>
              <w:gridCol w:w="4114"/>
            </w:tblGrid>
            <w:tr w:rsidR="00D234FB" w:rsidRPr="003F742A" w14:paraId="2360A6BD"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4"/>
                </w:tcPr>
                <w:p w14:paraId="3A4FD30F"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QUESTA TABELLA PRESENTA L’IMPATTO SUL RENDIMENTO PER ANNO</w:t>
                  </w:r>
                </w:p>
              </w:tc>
            </w:tr>
            <w:tr w:rsidR="00D234FB" w:rsidRPr="003F742A" w14:paraId="3739326B" w14:textId="77777777" w:rsidTr="00D8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vMerge w:val="restart"/>
                  <w:vAlign w:val="center"/>
                </w:tcPr>
                <w:p w14:paraId="4DE974A7"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UNA TANTUM</w:t>
                  </w:r>
                </w:p>
              </w:tc>
              <w:tc>
                <w:tcPr>
                  <w:tcW w:w="2835" w:type="dxa"/>
                </w:tcPr>
                <w:p w14:paraId="102D1C43"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ingresso</w:t>
                  </w:r>
                </w:p>
              </w:tc>
              <w:tc>
                <w:tcPr>
                  <w:tcW w:w="572" w:type="dxa"/>
                  <w:vAlign w:val="center"/>
                </w:tcPr>
                <w:p w14:paraId="2DA1F7E7"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0.9%</w:t>
                  </w:r>
                </w:p>
              </w:tc>
              <w:tc>
                <w:tcPr>
                  <w:tcW w:w="4114" w:type="dxa"/>
                </w:tcPr>
                <w:p w14:paraId="39B03049"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 costi massimi applicabili sono pari al 9/°°° calcolati sul cambio a termine. </w:t>
                  </w:r>
                  <w:r w:rsidRPr="00521D0D">
                    <w:rPr>
                      <w:rFonts w:asciiTheme="majorHAnsi" w:hAnsiTheme="majorHAnsi" w:cstheme="majorHAnsi"/>
                      <w:sz w:val="20"/>
                      <w:szCs w:val="20"/>
                    </w:rPr>
                    <w:t>Impatto dei costi già compres</w:t>
                  </w:r>
                  <w:r>
                    <w:rPr>
                      <w:rFonts w:asciiTheme="majorHAnsi" w:hAnsiTheme="majorHAnsi" w:cstheme="majorHAnsi"/>
                      <w:sz w:val="20"/>
                      <w:szCs w:val="20"/>
                    </w:rPr>
                    <w:t>o</w:t>
                  </w:r>
                  <w:r w:rsidRPr="00521D0D">
                    <w:rPr>
                      <w:rFonts w:asciiTheme="majorHAnsi" w:hAnsiTheme="majorHAnsi" w:cstheme="majorHAnsi"/>
                      <w:sz w:val="20"/>
                      <w:szCs w:val="20"/>
                    </w:rPr>
                    <w:t xml:space="preserve"> nel prezzo</w:t>
                  </w:r>
                </w:p>
              </w:tc>
            </w:tr>
            <w:tr w:rsidR="00D234FB" w:rsidRPr="003F742A" w14:paraId="1062D819" w14:textId="77777777" w:rsidTr="00D81527">
              <w:tc>
                <w:tcPr>
                  <w:cnfStyle w:val="001000000000" w:firstRow="0" w:lastRow="0" w:firstColumn="1" w:lastColumn="0" w:oddVBand="0" w:evenVBand="0" w:oddHBand="0" w:evenHBand="0" w:firstRowFirstColumn="0" w:firstRowLastColumn="0" w:lastRowFirstColumn="0" w:lastRowLastColumn="0"/>
                  <w:tcW w:w="2019" w:type="dxa"/>
                  <w:vMerge/>
                  <w:vAlign w:val="center"/>
                </w:tcPr>
                <w:p w14:paraId="284FFACE"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F5572B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Costi di uscita</w:t>
                  </w:r>
                </w:p>
              </w:tc>
              <w:tc>
                <w:tcPr>
                  <w:tcW w:w="572" w:type="dxa"/>
                  <w:vAlign w:val="center"/>
                </w:tcPr>
                <w:p w14:paraId="2C1E09E8" w14:textId="77777777" w:rsidR="00D234FB" w:rsidRPr="006C45B5" w:rsidRDefault="00C477F6"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c>
                <w:tcPr>
                  <w:tcW w:w="4114" w:type="dxa"/>
                </w:tcPr>
                <w:p w14:paraId="176ECAB2"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costi di </w:t>
                  </w:r>
                  <w:proofErr w:type="spellStart"/>
                  <w:r w:rsidRPr="003F742A">
                    <w:rPr>
                      <w:rFonts w:asciiTheme="majorHAnsi" w:hAnsiTheme="majorHAnsi" w:cstheme="majorHAnsi"/>
                      <w:sz w:val="20"/>
                      <w:szCs w:val="20"/>
                    </w:rPr>
                    <w:t>uscita</w:t>
                  </w:r>
                  <w:proofErr w:type="spellEnd"/>
                  <w:r w:rsidRPr="003F742A">
                    <w:rPr>
                      <w:rFonts w:asciiTheme="majorHAnsi" w:hAnsiTheme="majorHAnsi" w:cstheme="majorHAnsi"/>
                      <w:sz w:val="20"/>
                      <w:szCs w:val="20"/>
                    </w:rPr>
                    <w:t xml:space="preserve"> </w:t>
                  </w:r>
                  <w:r w:rsidR="00C477F6">
                    <w:rPr>
                      <w:rFonts w:asciiTheme="majorHAnsi" w:hAnsiTheme="majorHAnsi" w:cstheme="majorHAnsi"/>
                      <w:sz w:val="20"/>
                      <w:szCs w:val="20"/>
                    </w:rPr>
                    <w:t>d</w:t>
                  </w:r>
                  <w:r w:rsidRPr="003F742A">
                    <w:rPr>
                      <w:rFonts w:asciiTheme="majorHAnsi" w:hAnsiTheme="majorHAnsi" w:cstheme="majorHAnsi"/>
                      <w:sz w:val="20"/>
                      <w:szCs w:val="20"/>
                    </w:rPr>
                    <w:t>all'investimento alla scadenza</w:t>
                  </w:r>
                  <w:r w:rsidR="00C477F6">
                    <w:rPr>
                      <w:rFonts w:asciiTheme="majorHAnsi" w:hAnsiTheme="majorHAnsi" w:cstheme="majorHAnsi"/>
                      <w:sz w:val="20"/>
                      <w:szCs w:val="20"/>
                    </w:rPr>
                    <w:t xml:space="preserve"> contrattuale</w:t>
                  </w:r>
                </w:p>
              </w:tc>
            </w:tr>
            <w:tr w:rsidR="00D234FB" w:rsidRPr="003F742A" w14:paraId="04DEB3ED" w14:textId="77777777" w:rsidTr="00D8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vMerge w:val="restart"/>
                  <w:shd w:val="clear" w:color="auto" w:fill="FFFFFF" w:themeFill="background1"/>
                  <w:vAlign w:val="center"/>
                </w:tcPr>
                <w:p w14:paraId="3B08EAD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RICORRENTI</w:t>
                  </w:r>
                </w:p>
              </w:tc>
              <w:tc>
                <w:tcPr>
                  <w:tcW w:w="2835" w:type="dxa"/>
                </w:tcPr>
                <w:p w14:paraId="6026C11A"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transazione del portafoglio</w:t>
                  </w:r>
                </w:p>
              </w:tc>
              <w:tc>
                <w:tcPr>
                  <w:tcW w:w="572" w:type="dxa"/>
                  <w:vAlign w:val="center"/>
                </w:tcPr>
                <w:p w14:paraId="49CAF1B7"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09A7C935"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nostri costi di acquisto e vendita degli investimenti sottostanti per il prodotto</w:t>
                  </w:r>
                </w:p>
              </w:tc>
            </w:tr>
            <w:tr w:rsidR="00D234FB" w:rsidRPr="003F742A" w14:paraId="20DB402A" w14:textId="77777777" w:rsidTr="00D81527">
              <w:tc>
                <w:tcPr>
                  <w:cnfStyle w:val="001000000000" w:firstRow="0" w:lastRow="0" w:firstColumn="1" w:lastColumn="0" w:oddVBand="0" w:evenVBand="0" w:oddHBand="0" w:evenHBand="0" w:firstRowFirstColumn="0" w:firstRowLastColumn="0" w:lastRowFirstColumn="0" w:lastRowLastColumn="0"/>
                  <w:tcW w:w="2019" w:type="dxa"/>
                  <w:vMerge/>
                  <w:shd w:val="clear" w:color="auto" w:fill="FFFFFF" w:themeFill="background1"/>
                  <w:vAlign w:val="center"/>
                </w:tcPr>
                <w:p w14:paraId="6EA92B04"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6AE420D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Altri costi correnti</w:t>
                  </w:r>
                </w:p>
              </w:tc>
              <w:tc>
                <w:tcPr>
                  <w:tcW w:w="572" w:type="dxa"/>
                  <w:vAlign w:val="center"/>
                </w:tcPr>
                <w:p w14:paraId="4CCC3FE7"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52BC677E"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costi che tratteniamo ogni anno per gestire i vostri investimenti.</w:t>
                  </w:r>
                </w:p>
              </w:tc>
            </w:tr>
            <w:tr w:rsidR="00D234FB" w:rsidRPr="003F742A" w14:paraId="44871F73" w14:textId="77777777" w:rsidTr="00D8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vMerge w:val="restart"/>
                  <w:vAlign w:val="center"/>
                </w:tcPr>
                <w:p w14:paraId="16395A9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ONERI ACCESSORI</w:t>
                  </w:r>
                </w:p>
              </w:tc>
              <w:tc>
                <w:tcPr>
                  <w:tcW w:w="2835" w:type="dxa"/>
                </w:tcPr>
                <w:p w14:paraId="3155D3DC"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Commissioni di performance</w:t>
                  </w:r>
                </w:p>
              </w:tc>
              <w:tc>
                <w:tcPr>
                  <w:tcW w:w="572" w:type="dxa"/>
                  <w:vAlign w:val="center"/>
                </w:tcPr>
                <w:p w14:paraId="44AD79CF"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4E26E0B3"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delle commissioni di Performance.</w:t>
                  </w:r>
                </w:p>
              </w:tc>
            </w:tr>
            <w:tr w:rsidR="00D234FB" w:rsidRPr="003F742A" w14:paraId="3BCAB753" w14:textId="77777777" w:rsidTr="00D81527">
              <w:tc>
                <w:tcPr>
                  <w:cnfStyle w:val="001000000000" w:firstRow="0" w:lastRow="0" w:firstColumn="1" w:lastColumn="0" w:oddVBand="0" w:evenVBand="0" w:oddHBand="0" w:evenHBand="0" w:firstRowFirstColumn="0" w:firstRowLastColumn="0" w:lastRowFirstColumn="0" w:lastRowLastColumn="0"/>
                  <w:tcW w:w="2019" w:type="dxa"/>
                  <w:vMerge/>
                </w:tcPr>
                <w:p w14:paraId="0ECE5240"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C362211"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roofErr w:type="spellStart"/>
                  <w:r w:rsidRPr="003F742A">
                    <w:rPr>
                      <w:rFonts w:asciiTheme="majorHAnsi" w:hAnsiTheme="majorHAnsi" w:cstheme="majorHAnsi"/>
                      <w:b/>
                      <w:sz w:val="20"/>
                      <w:szCs w:val="20"/>
                    </w:rPr>
                    <w:t>Carried</w:t>
                  </w:r>
                  <w:proofErr w:type="spellEnd"/>
                  <w:r w:rsidRPr="003F742A">
                    <w:rPr>
                      <w:rFonts w:asciiTheme="majorHAnsi" w:hAnsiTheme="majorHAnsi" w:cstheme="majorHAnsi"/>
                      <w:b/>
                      <w:sz w:val="20"/>
                      <w:szCs w:val="20"/>
                    </w:rPr>
                    <w:t xml:space="preserve"> </w:t>
                  </w:r>
                  <w:proofErr w:type="spellStart"/>
                  <w:r w:rsidRPr="003F742A">
                    <w:rPr>
                      <w:rFonts w:asciiTheme="majorHAnsi" w:hAnsiTheme="majorHAnsi" w:cstheme="majorHAnsi"/>
                      <w:b/>
                      <w:sz w:val="20"/>
                      <w:szCs w:val="20"/>
                    </w:rPr>
                    <w:t>interests</w:t>
                  </w:r>
                  <w:proofErr w:type="spellEnd"/>
                  <w:r w:rsidRPr="003F742A">
                    <w:rPr>
                      <w:rFonts w:asciiTheme="majorHAnsi" w:hAnsiTheme="majorHAnsi" w:cstheme="majorHAnsi"/>
                      <w:b/>
                      <w:sz w:val="20"/>
                      <w:szCs w:val="20"/>
                    </w:rPr>
                    <w:t xml:space="preserve"> (commissioni di </w:t>
                  </w:r>
                  <w:proofErr w:type="spellStart"/>
                  <w:r w:rsidRPr="003F742A">
                    <w:rPr>
                      <w:rFonts w:asciiTheme="majorHAnsi" w:hAnsiTheme="majorHAnsi" w:cstheme="majorHAnsi"/>
                      <w:b/>
                      <w:sz w:val="20"/>
                      <w:szCs w:val="20"/>
                    </w:rPr>
                    <w:t>overperformance</w:t>
                  </w:r>
                  <w:proofErr w:type="spellEnd"/>
                  <w:r w:rsidRPr="003F742A">
                    <w:rPr>
                      <w:rFonts w:asciiTheme="majorHAnsi" w:hAnsiTheme="majorHAnsi" w:cstheme="majorHAnsi"/>
                      <w:b/>
                      <w:sz w:val="20"/>
                      <w:szCs w:val="20"/>
                    </w:rPr>
                    <w:t>)</w:t>
                  </w:r>
                </w:p>
              </w:tc>
              <w:tc>
                <w:tcPr>
                  <w:tcW w:w="572" w:type="dxa"/>
                  <w:vAlign w:val="center"/>
                </w:tcPr>
                <w:p w14:paraId="63C59E38"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2F53C574"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w:t>
                  </w:r>
                  <w:proofErr w:type="spellStart"/>
                  <w:r w:rsidR="00E07C46">
                    <w:rPr>
                      <w:rFonts w:asciiTheme="majorHAnsi" w:hAnsiTheme="majorHAnsi" w:cstheme="majorHAnsi"/>
                      <w:sz w:val="20"/>
                      <w:szCs w:val="20"/>
                    </w:rPr>
                    <w:t>c</w:t>
                  </w:r>
                  <w:r w:rsidRPr="003F742A">
                    <w:rPr>
                      <w:rFonts w:asciiTheme="majorHAnsi" w:hAnsiTheme="majorHAnsi" w:cstheme="majorHAnsi"/>
                      <w:sz w:val="20"/>
                      <w:szCs w:val="20"/>
                    </w:rPr>
                    <w:t>arried</w:t>
                  </w:r>
                  <w:proofErr w:type="spellEnd"/>
                  <w:r w:rsidRPr="003F742A">
                    <w:rPr>
                      <w:rFonts w:asciiTheme="majorHAnsi" w:hAnsiTheme="majorHAnsi" w:cstheme="majorHAnsi"/>
                      <w:sz w:val="20"/>
                      <w:szCs w:val="20"/>
                    </w:rPr>
                    <w:t xml:space="preserve"> </w:t>
                  </w:r>
                  <w:proofErr w:type="spellStart"/>
                  <w:r w:rsidRPr="003F742A">
                    <w:rPr>
                      <w:rFonts w:asciiTheme="majorHAnsi" w:hAnsiTheme="majorHAnsi" w:cstheme="majorHAnsi"/>
                      <w:sz w:val="20"/>
                      <w:szCs w:val="20"/>
                    </w:rPr>
                    <w:t>interest</w:t>
                  </w:r>
                  <w:proofErr w:type="spellEnd"/>
                  <w:r w:rsidRPr="003F742A">
                    <w:rPr>
                      <w:rFonts w:asciiTheme="majorHAnsi" w:hAnsiTheme="majorHAnsi" w:cstheme="majorHAnsi"/>
                      <w:sz w:val="20"/>
                      <w:szCs w:val="20"/>
                    </w:rPr>
                    <w:t xml:space="preserve"> (commissioni di Performance).</w:t>
                  </w:r>
                </w:p>
              </w:tc>
            </w:tr>
          </w:tbl>
          <w:p w14:paraId="6AE7D03A" w14:textId="797DCF4E"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r>
      <w:tr w:rsidR="00D234FB" w:rsidRPr="003F742A" w14:paraId="32AB82FA" w14:textId="77777777" w:rsidTr="00EB33A8">
        <w:tc>
          <w:tcPr>
            <w:tcW w:w="10335" w:type="dxa"/>
            <w:tcBorders>
              <w:top w:val="single" w:sz="4" w:space="0" w:color="auto"/>
            </w:tcBorders>
            <w:shd w:val="clear" w:color="auto" w:fill="D9D9D9" w:themeFill="background1" w:themeFillShade="D9"/>
          </w:tcPr>
          <w:p w14:paraId="6F01C9E7"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PER QUANTO TEMPO DEVO DETENERLO? POSSO RITIRARE IL CAPITALE PREMATURAMENTE?</w:t>
            </w:r>
            <w:r w:rsidRPr="003F742A">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w:t>
            </w:r>
          </w:p>
        </w:tc>
      </w:tr>
      <w:tr w:rsidR="00D234FB" w:rsidRPr="003F742A" w14:paraId="272F1027" w14:textId="77777777" w:rsidTr="00EB33A8">
        <w:tc>
          <w:tcPr>
            <w:tcW w:w="10335" w:type="dxa"/>
            <w:shd w:val="clear" w:color="auto" w:fill="auto"/>
          </w:tcPr>
          <w:p w14:paraId="78CC8590" w14:textId="77777777" w:rsidR="00D234FB" w:rsidRPr="003F742A" w:rsidRDefault="00D234FB" w:rsidP="00746755">
            <w:pPr>
              <w:tabs>
                <w:tab w:val="left" w:pos="6400"/>
              </w:tabs>
              <w:jc w:val="center"/>
              <w:rPr>
                <w:rFonts w:asciiTheme="majorHAnsi" w:hAnsiTheme="majorHAnsi" w:cstheme="majorHAnsi"/>
                <w:sz w:val="20"/>
                <w:szCs w:val="20"/>
                <w:u w:val="single"/>
              </w:rPr>
            </w:pPr>
            <w:r w:rsidRPr="003F742A">
              <w:rPr>
                <w:rFonts w:asciiTheme="majorHAnsi" w:hAnsiTheme="majorHAnsi" w:cstheme="majorHAnsi"/>
                <w:sz w:val="20"/>
                <w:szCs w:val="20"/>
                <w:u w:val="single"/>
              </w:rPr>
              <w:t>PERIODO DI DETENZIONE RACCOMANDATO: SINO ALLA SCADENZA DEL CONTRAT</w:t>
            </w:r>
            <w:r>
              <w:rPr>
                <w:rFonts w:asciiTheme="majorHAnsi" w:hAnsiTheme="majorHAnsi" w:cstheme="majorHAnsi"/>
                <w:sz w:val="20"/>
                <w:szCs w:val="20"/>
                <w:u w:val="single"/>
              </w:rPr>
              <w:t>T</w:t>
            </w:r>
            <w:r w:rsidRPr="003F742A">
              <w:rPr>
                <w:rFonts w:asciiTheme="majorHAnsi" w:hAnsiTheme="majorHAnsi" w:cstheme="majorHAnsi"/>
                <w:sz w:val="20"/>
                <w:szCs w:val="20"/>
                <w:u w:val="single"/>
              </w:rPr>
              <w:t>O</w:t>
            </w:r>
          </w:p>
          <w:p w14:paraId="592CCFDC" w14:textId="421E0347" w:rsidR="00D234FB" w:rsidRPr="003F742A" w:rsidRDefault="00EB33A8" w:rsidP="00DD6C7F">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In considerazione della finalità di copertura del </w:t>
            </w:r>
            <w:r>
              <w:rPr>
                <w:rFonts w:asciiTheme="majorHAnsi" w:hAnsiTheme="majorHAnsi" w:cstheme="majorHAnsi"/>
                <w:sz w:val="20"/>
                <w:szCs w:val="20"/>
              </w:rPr>
              <w:t>prodotto (</w:t>
            </w:r>
            <w:r w:rsidRPr="003F742A">
              <w:rPr>
                <w:rFonts w:asciiTheme="majorHAnsi" w:hAnsiTheme="majorHAnsi" w:cstheme="majorHAnsi"/>
                <w:sz w:val="20"/>
                <w:szCs w:val="20"/>
              </w:rPr>
              <w:t>rischio di variazione dei tassi di cambio</w:t>
            </w:r>
            <w:r>
              <w:rPr>
                <w:rFonts w:asciiTheme="majorHAnsi" w:hAnsiTheme="majorHAnsi" w:cstheme="majorHAnsi"/>
                <w:sz w:val="20"/>
                <w:szCs w:val="20"/>
              </w:rPr>
              <w:t>)</w:t>
            </w:r>
            <w:r w:rsidRPr="003F742A">
              <w:rPr>
                <w:rFonts w:asciiTheme="majorHAnsi" w:hAnsiTheme="majorHAnsi" w:cstheme="majorHAnsi"/>
                <w:sz w:val="20"/>
                <w:szCs w:val="20"/>
              </w:rPr>
              <w:t xml:space="preserve">, </w:t>
            </w:r>
            <w:r>
              <w:rPr>
                <w:rFonts w:asciiTheme="majorHAnsi" w:hAnsiTheme="majorHAnsi" w:cstheme="majorHAnsi"/>
                <w:sz w:val="20"/>
                <w:szCs w:val="20"/>
              </w:rPr>
              <w:t xml:space="preserve">(i) </w:t>
            </w:r>
            <w:r w:rsidRPr="003F742A">
              <w:rPr>
                <w:rFonts w:asciiTheme="majorHAnsi" w:hAnsiTheme="majorHAnsi" w:cstheme="majorHAnsi"/>
                <w:sz w:val="20"/>
                <w:szCs w:val="20"/>
              </w:rPr>
              <w:t xml:space="preserve">il periodo di detenzione raccomandato è sino alla </w:t>
            </w:r>
            <w:r>
              <w:rPr>
                <w:rFonts w:asciiTheme="majorHAnsi" w:hAnsiTheme="majorHAnsi" w:cstheme="majorHAnsi"/>
                <w:sz w:val="20"/>
                <w:szCs w:val="20"/>
              </w:rPr>
              <w:t>d</w:t>
            </w:r>
            <w:r w:rsidRPr="003F742A">
              <w:rPr>
                <w:rFonts w:asciiTheme="majorHAnsi" w:hAnsiTheme="majorHAnsi" w:cstheme="majorHAnsi"/>
                <w:sz w:val="20"/>
                <w:szCs w:val="20"/>
              </w:rPr>
              <w:t xml:space="preserve">ata di </w:t>
            </w:r>
            <w:r>
              <w:rPr>
                <w:rFonts w:asciiTheme="majorHAnsi" w:hAnsiTheme="majorHAnsi" w:cstheme="majorHAnsi"/>
                <w:sz w:val="20"/>
                <w:szCs w:val="20"/>
              </w:rPr>
              <w:t>s</w:t>
            </w:r>
            <w:r w:rsidRPr="003F742A">
              <w:rPr>
                <w:rFonts w:asciiTheme="majorHAnsi" w:hAnsiTheme="majorHAnsi" w:cstheme="majorHAnsi"/>
                <w:sz w:val="20"/>
                <w:szCs w:val="20"/>
              </w:rPr>
              <w:t>cadenza del contratto</w:t>
            </w:r>
            <w:r>
              <w:rPr>
                <w:rFonts w:asciiTheme="majorHAnsi" w:hAnsiTheme="majorHAnsi" w:cstheme="majorHAnsi"/>
                <w:sz w:val="20"/>
                <w:szCs w:val="20"/>
              </w:rPr>
              <w:t xml:space="preserve">, ma (ii) il venir meno, totale o parziale, dell’esigenza di copertura comporta la necessità di </w:t>
            </w:r>
            <w:r w:rsidRPr="003F742A">
              <w:rPr>
                <w:rFonts w:asciiTheme="majorHAnsi" w:hAnsiTheme="majorHAnsi" w:cstheme="majorHAnsi"/>
                <w:sz w:val="20"/>
                <w:szCs w:val="20"/>
              </w:rPr>
              <w:t>estinguere anticipatamente</w:t>
            </w:r>
            <w:r>
              <w:rPr>
                <w:rFonts w:asciiTheme="majorHAnsi" w:hAnsiTheme="majorHAnsi" w:cstheme="majorHAnsi"/>
                <w:sz w:val="20"/>
                <w:szCs w:val="20"/>
              </w:rPr>
              <w:t xml:space="preserve"> o rimodulare</w:t>
            </w:r>
            <w:r w:rsidRPr="003F742A">
              <w:rPr>
                <w:rFonts w:asciiTheme="majorHAnsi" w:hAnsiTheme="majorHAnsi" w:cstheme="majorHAnsi"/>
                <w:sz w:val="20"/>
                <w:szCs w:val="20"/>
              </w:rPr>
              <w:t xml:space="preserve"> il contratto</w:t>
            </w:r>
            <w:r>
              <w:rPr>
                <w:rFonts w:asciiTheme="majorHAnsi" w:hAnsiTheme="majorHAnsi" w:cstheme="majorHAnsi"/>
                <w:sz w:val="20"/>
                <w:szCs w:val="20"/>
              </w:rPr>
              <w:t xml:space="preserve"> al fine di ripristinare la relazione di copertura stessa (oltre a costituire un elemento da cui deriva una delle facoltà di recesso esercitabili dalla banca)</w:t>
            </w:r>
            <w:r w:rsidRPr="003F742A">
              <w:rPr>
                <w:rFonts w:asciiTheme="majorHAnsi" w:hAnsiTheme="majorHAnsi" w:cstheme="majorHAnsi"/>
                <w:sz w:val="20"/>
                <w:szCs w:val="20"/>
              </w:rPr>
              <w:t>. L’</w:t>
            </w:r>
            <w:r>
              <w:rPr>
                <w:rFonts w:asciiTheme="majorHAnsi" w:hAnsiTheme="majorHAnsi" w:cstheme="majorHAnsi"/>
                <w:sz w:val="20"/>
                <w:szCs w:val="20"/>
              </w:rPr>
              <w:t xml:space="preserve">eventuale </w:t>
            </w:r>
            <w:r w:rsidRPr="003F742A">
              <w:rPr>
                <w:rFonts w:asciiTheme="majorHAnsi" w:hAnsiTheme="majorHAnsi" w:cstheme="majorHAnsi"/>
                <w:sz w:val="20"/>
                <w:szCs w:val="20"/>
              </w:rPr>
              <w:t xml:space="preserve">estinzione anticipata comporta la liquidazione del </w:t>
            </w:r>
            <w:r>
              <w:rPr>
                <w:rFonts w:asciiTheme="majorHAnsi" w:hAnsiTheme="majorHAnsi" w:cstheme="majorHAnsi"/>
                <w:sz w:val="20"/>
                <w:szCs w:val="20"/>
              </w:rPr>
              <w:t xml:space="preserve">fair </w:t>
            </w:r>
            <w:proofErr w:type="spellStart"/>
            <w:r>
              <w:rPr>
                <w:rFonts w:asciiTheme="majorHAnsi" w:hAnsiTheme="majorHAnsi" w:cstheme="majorHAnsi"/>
                <w:sz w:val="20"/>
                <w:szCs w:val="20"/>
              </w:rPr>
              <w:t>price</w:t>
            </w:r>
            <w:proofErr w:type="spellEnd"/>
            <w:r w:rsidRPr="0026431A">
              <w:rPr>
                <w:rFonts w:asciiTheme="majorHAnsi" w:hAnsiTheme="majorHAnsi" w:cstheme="majorHAnsi"/>
                <w:sz w:val="20"/>
                <w:szCs w:val="20"/>
              </w:rPr>
              <w:t xml:space="preserve"> del prodotto</w:t>
            </w:r>
            <w:r>
              <w:rPr>
                <w:rFonts w:asciiTheme="majorHAnsi" w:hAnsiTheme="majorHAnsi" w:cstheme="majorHAnsi"/>
                <w:sz w:val="20"/>
                <w:szCs w:val="20"/>
              </w:rPr>
              <w:t xml:space="preserve"> al quale la banca, in funzione dei costi sostenuti e dei rischi assunti, potrà applicare costi supplementari (</w:t>
            </w:r>
            <w:proofErr w:type="spellStart"/>
            <w:r>
              <w:rPr>
                <w:rFonts w:asciiTheme="majorHAnsi" w:hAnsiTheme="majorHAnsi" w:cstheme="majorHAnsi"/>
                <w:sz w:val="20"/>
                <w:szCs w:val="20"/>
              </w:rPr>
              <w:t>mark</w:t>
            </w:r>
            <w:proofErr w:type="spellEnd"/>
            <w:r>
              <w:rPr>
                <w:rFonts w:asciiTheme="majorHAnsi" w:hAnsiTheme="majorHAnsi" w:cstheme="majorHAnsi"/>
                <w:sz w:val="20"/>
                <w:szCs w:val="20"/>
              </w:rPr>
              <w:t xml:space="preserve"> up) nella misura massima dello 0,45% del cambio a termine di riferiment</w:t>
            </w:r>
            <w:r w:rsidRPr="00577344">
              <w:rPr>
                <w:rFonts w:asciiTheme="majorHAnsi" w:hAnsiTheme="majorHAnsi" w:cstheme="majorHAnsi"/>
                <w:sz w:val="20"/>
                <w:szCs w:val="20"/>
              </w:rPr>
              <w:t>o</w:t>
            </w:r>
            <w:r w:rsidR="00F93F51" w:rsidRPr="00577344">
              <w:rPr>
                <w:rFonts w:asciiTheme="majorHAnsi" w:hAnsiTheme="majorHAnsi" w:cstheme="majorHAnsi"/>
                <w:sz w:val="20"/>
                <w:szCs w:val="20"/>
              </w:rPr>
              <w:t>.</w:t>
            </w:r>
          </w:p>
        </w:tc>
      </w:tr>
      <w:tr w:rsidR="00D234FB" w:rsidRPr="003F742A" w14:paraId="268F205D" w14:textId="77777777" w:rsidTr="00EB33A8">
        <w:tc>
          <w:tcPr>
            <w:tcW w:w="10335" w:type="dxa"/>
            <w:shd w:val="clear" w:color="auto" w:fill="D9D9D9" w:themeFill="background1" w:themeFillShade="D9"/>
          </w:tcPr>
          <w:p w14:paraId="538B6AD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COME PRESENTARE RECLAMI?</w:t>
            </w:r>
          </w:p>
        </w:tc>
      </w:tr>
      <w:tr w:rsidR="00D234FB" w:rsidRPr="003F742A" w14:paraId="41126AB7" w14:textId="77777777" w:rsidTr="00EB33A8">
        <w:tc>
          <w:tcPr>
            <w:tcW w:w="10335" w:type="dxa"/>
            <w:shd w:val="clear" w:color="auto" w:fill="auto"/>
          </w:tcPr>
          <w:p w14:paraId="5BD94A3A"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Eventuali reclami vanno inviati all’Ufficio Reclami della Banca. Si riportano di seguito i riferimenti:</w:t>
            </w:r>
          </w:p>
          <w:p w14:paraId="3A0186FC"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Posta ordinaria: Via Terraglio n.63, 30174 Venezia-Mestre</w:t>
            </w:r>
          </w:p>
          <w:p w14:paraId="67A44B4F" w14:textId="77777777" w:rsidR="00D234FB" w:rsidRPr="00173D0B"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elettronica: </w:t>
            </w:r>
            <w:hyperlink r:id="rId12"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reclami@bancaifis.it</w:t>
              </w:r>
            </w:hyperlink>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 xml:space="preserve"> - </w:t>
            </w: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certificata (PEC): </w:t>
            </w:r>
            <w:hyperlink r:id="rId13"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reclami.pec@bancaifis.legalmail.it</w:t>
              </w:r>
            </w:hyperlink>
          </w:p>
          <w:p w14:paraId="24EA06C5"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Fax: +39 0415027577</w:t>
            </w:r>
          </w:p>
        </w:tc>
      </w:tr>
      <w:tr w:rsidR="00D234FB" w:rsidRPr="003F742A" w14:paraId="3709D827" w14:textId="77777777" w:rsidTr="00EB33A8">
        <w:tc>
          <w:tcPr>
            <w:tcW w:w="10335" w:type="dxa"/>
            <w:shd w:val="clear" w:color="auto" w:fill="D9D9D9" w:themeFill="background1" w:themeFillShade="D9"/>
          </w:tcPr>
          <w:p w14:paraId="7A94BC54"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ALTRE INFORMAZIONI RILEVANTI</w:t>
            </w:r>
          </w:p>
        </w:tc>
      </w:tr>
      <w:tr w:rsidR="00D234FB" w:rsidRPr="003F742A" w14:paraId="5B7ED480" w14:textId="77777777" w:rsidTr="00EB33A8">
        <w:tc>
          <w:tcPr>
            <w:tcW w:w="10335" w:type="dxa"/>
            <w:shd w:val="clear" w:color="auto" w:fill="auto"/>
          </w:tcPr>
          <w:p w14:paraId="3B19BF7B" w14:textId="77777777" w:rsid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Ulteriori informazioni sul prodotto sono disponibili su richiesta. La versione aggiornata del KID è disponibile sul sito</w:t>
            </w:r>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hyperlink r:id="rId14"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0FB630E7" w14:textId="10A1E9AC" w:rsidR="00D234FB" w:rsidRP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Informazioni specifiche relative a questo prodotto sono contenute nella “Scheda Prodotto”, che Vi deve essere consegnata da Banca IFIS prima della sottoscrizione di ogni nuova operazione. Ulteriori informazioni sui prodotti sono contenute nel “Documento Informativo” che Vi deve essere consegnato da Banca IFIS ed è disponibile sul sito </w:t>
            </w:r>
            <w:hyperlink r:id="rId15"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200CE48" w14:textId="77777777" w:rsidR="00F05626" w:rsidRPr="00D234FB" w:rsidRDefault="00F05626" w:rsidP="00C63119">
      <w:pPr>
        <w:tabs>
          <w:tab w:val="left" w:pos="6400"/>
        </w:tabs>
      </w:pPr>
    </w:p>
    <w:sectPr w:rsidR="00F05626" w:rsidRPr="00D234FB" w:rsidSect="00D81527">
      <w:headerReference w:type="default" r:id="rId16"/>
      <w:footerReference w:type="default" r:id="rId17"/>
      <w:headerReference w:type="first" r:id="rId18"/>
      <w:footerReference w:type="first" r:id="rId19"/>
      <w:pgSz w:w="11900" w:h="16840"/>
      <w:pgMar w:top="1701" w:right="851" w:bottom="2694" w:left="851" w:header="851" w:footer="13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200F" w14:textId="77777777" w:rsidR="002013BB" w:rsidRDefault="002013BB" w:rsidP="00224DD8">
      <w:r>
        <w:separator/>
      </w:r>
    </w:p>
  </w:endnote>
  <w:endnote w:type="continuationSeparator" w:id="0">
    <w:p w14:paraId="7B645385" w14:textId="77777777" w:rsidR="002013BB" w:rsidRDefault="002013BB" w:rsidP="0022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4C30" w14:textId="110249F1" w:rsidR="008052D5" w:rsidRPr="00E26618" w:rsidRDefault="004021D8" w:rsidP="00E26618">
    <w:pPr>
      <w:pStyle w:val="Pidipagina"/>
      <w:ind w:left="8496" w:firstLine="1142"/>
      <w:rPr>
        <w:rFonts w:asciiTheme="majorHAnsi" w:hAnsiTheme="majorHAnsi" w:cstheme="majorHAnsi"/>
        <w:sz w:val="20"/>
        <w:szCs w:val="20"/>
      </w:rPr>
    </w:pPr>
    <w:r w:rsidRPr="00E26618">
      <w:rPr>
        <w:rFonts w:asciiTheme="majorHAnsi" w:hAnsiTheme="majorHAnsi" w:cstheme="majorHAnsi"/>
        <w:noProof/>
        <w:sz w:val="20"/>
        <w:szCs w:val="20"/>
      </w:rPr>
      <w:drawing>
        <wp:anchor distT="0" distB="0" distL="114300" distR="114300" simplePos="0" relativeHeight="251666944" behindDoc="1" locked="1" layoutInCell="1" allowOverlap="1" wp14:anchorId="193EAF45" wp14:editId="14D6BB5E">
          <wp:simplePos x="0" y="0"/>
          <wp:positionH relativeFrom="page">
            <wp:posOffset>6109335</wp:posOffset>
          </wp:positionH>
          <wp:positionV relativeFrom="page">
            <wp:posOffset>10060940</wp:posOffset>
          </wp:positionV>
          <wp:extent cx="1522730" cy="654050"/>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grupp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6540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26618">
      <w:rPr>
        <w:rFonts w:asciiTheme="majorHAnsi" w:hAnsiTheme="majorHAnsi" w:cstheme="majorHAnsi"/>
        <w:noProof/>
        <w:sz w:val="20"/>
        <w:szCs w:val="20"/>
      </w:rPr>
      <w:drawing>
        <wp:anchor distT="0" distB="0" distL="114300" distR="114300" simplePos="0" relativeHeight="251663872" behindDoc="1" locked="1" layoutInCell="1" allowOverlap="1" wp14:anchorId="0CDEBBB3" wp14:editId="57D37E7E">
          <wp:simplePos x="0" y="0"/>
          <wp:positionH relativeFrom="page">
            <wp:posOffset>-64770</wp:posOffset>
          </wp:positionH>
          <wp:positionV relativeFrom="page">
            <wp:posOffset>10059035</wp:posOffset>
          </wp:positionV>
          <wp:extent cx="2444115" cy="63881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2">
                    <a:extLst>
                      <a:ext uri="{28A0092B-C50C-407E-A947-70E740481C1C}">
                        <a14:useLocalDpi xmlns:a14="http://schemas.microsoft.com/office/drawing/2010/main" val="0"/>
                      </a:ext>
                    </a:extLst>
                  </a:blip>
                  <a:stretch>
                    <a:fillRect/>
                  </a:stretch>
                </pic:blipFill>
                <pic:spPr>
                  <a:xfrm>
                    <a:off x="0" y="0"/>
                    <a:ext cx="2444115" cy="6388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26618">
      <w:rPr>
        <w:rFonts w:asciiTheme="majorHAnsi" w:hAnsiTheme="majorHAnsi" w:cstheme="majorHAnsi"/>
        <w:sz w:val="20"/>
        <w:szCs w:val="20"/>
      </w:rPr>
      <w:t>-</w:t>
    </w:r>
    <w:r w:rsidR="00E26618" w:rsidRPr="00E26618">
      <w:rPr>
        <w:rFonts w:asciiTheme="majorHAnsi" w:hAnsiTheme="majorHAnsi" w:cstheme="majorHAnsi"/>
        <w:sz w:val="20"/>
        <w:szCs w:val="20"/>
      </w:rPr>
      <w:t xml:space="preserve"> </w:t>
    </w:r>
    <w:r w:rsidR="00E26618" w:rsidRPr="00E26618">
      <w:rPr>
        <w:rFonts w:asciiTheme="majorHAnsi" w:hAnsiTheme="majorHAnsi" w:cstheme="majorHAnsi"/>
        <w:sz w:val="20"/>
        <w:szCs w:val="20"/>
      </w:rPr>
      <w:fldChar w:fldCharType="begin"/>
    </w:r>
    <w:r w:rsidR="00E26618" w:rsidRPr="00E26618">
      <w:rPr>
        <w:rFonts w:asciiTheme="majorHAnsi" w:hAnsiTheme="majorHAnsi" w:cstheme="majorHAnsi"/>
        <w:sz w:val="20"/>
        <w:szCs w:val="20"/>
      </w:rPr>
      <w:instrText>PAGE   \* MERGEFORMAT</w:instrText>
    </w:r>
    <w:r w:rsidR="00E26618" w:rsidRPr="00E26618">
      <w:rPr>
        <w:rFonts w:asciiTheme="majorHAnsi" w:hAnsiTheme="majorHAnsi" w:cstheme="majorHAnsi"/>
        <w:sz w:val="20"/>
        <w:szCs w:val="20"/>
      </w:rPr>
      <w:fldChar w:fldCharType="separate"/>
    </w:r>
    <w:r w:rsidR="00D81527">
      <w:rPr>
        <w:rFonts w:asciiTheme="majorHAnsi" w:hAnsiTheme="majorHAnsi" w:cstheme="majorHAnsi"/>
        <w:noProof/>
        <w:sz w:val="20"/>
        <w:szCs w:val="20"/>
      </w:rPr>
      <w:t>2</w:t>
    </w:r>
    <w:r w:rsidR="00E26618" w:rsidRPr="00E26618">
      <w:rPr>
        <w:rFonts w:asciiTheme="majorHAnsi" w:hAnsiTheme="majorHAnsi" w:cstheme="majorHAnsi"/>
        <w:sz w:val="20"/>
        <w:szCs w:val="20"/>
      </w:rPr>
      <w:fldChar w:fldCharType="end"/>
    </w:r>
    <w:r w:rsidR="00E26618">
      <w:rPr>
        <w:rFonts w:asciiTheme="majorHAnsi" w:hAnsiTheme="majorHAnsi" w:cstheme="majorHAnsi"/>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D03A" w14:textId="318994B0" w:rsidR="002259D4" w:rsidRPr="00E26618" w:rsidRDefault="004021D8" w:rsidP="00E26618">
    <w:pPr>
      <w:pStyle w:val="Pidipagina"/>
      <w:ind w:left="7788" w:firstLine="1416"/>
      <w:jc w:val="center"/>
      <w:rPr>
        <w:rFonts w:ascii="Calibri" w:hAnsi="Calibri" w:cs="Calibri"/>
        <w:sz w:val="20"/>
        <w:szCs w:val="20"/>
      </w:rPr>
    </w:pPr>
    <w:r w:rsidRPr="00E26618">
      <w:rPr>
        <w:rFonts w:ascii="Calibri" w:hAnsi="Calibri" w:cs="Calibri"/>
        <w:noProof/>
        <w:sz w:val="20"/>
        <w:szCs w:val="20"/>
      </w:rPr>
      <w:drawing>
        <wp:anchor distT="0" distB="0" distL="114300" distR="114300" simplePos="0" relativeHeight="251657728" behindDoc="1" locked="1" layoutInCell="1" allowOverlap="1" wp14:anchorId="0507D635" wp14:editId="18B16461">
          <wp:simplePos x="0" y="0"/>
          <wp:positionH relativeFrom="page">
            <wp:align>left</wp:align>
          </wp:positionH>
          <wp:positionV relativeFrom="page">
            <wp:posOffset>9206230</wp:posOffset>
          </wp:positionV>
          <wp:extent cx="4845685" cy="1463040"/>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1">
                    <a:extLst>
                      <a:ext uri="{28A0092B-C50C-407E-A947-70E740481C1C}">
                        <a14:useLocalDpi xmlns:a14="http://schemas.microsoft.com/office/drawing/2010/main" val="0"/>
                      </a:ext>
                    </a:extLst>
                  </a:blip>
                  <a:stretch>
                    <a:fillRect/>
                  </a:stretch>
                </pic:blipFill>
                <pic:spPr>
                  <a:xfrm>
                    <a:off x="0" y="0"/>
                    <a:ext cx="4845685" cy="14630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26618">
      <w:rPr>
        <w:rFonts w:ascii="Calibri" w:hAnsi="Calibri" w:cs="Calibri"/>
        <w:sz w:val="20"/>
        <w:szCs w:val="20"/>
      </w:rPr>
      <w:t>-</w:t>
    </w:r>
    <w:r w:rsidR="00E26618" w:rsidRPr="00E26618">
      <w:rPr>
        <w:rFonts w:ascii="Calibri" w:hAnsi="Calibri" w:cs="Calibri"/>
        <w:sz w:val="20"/>
        <w:szCs w:val="20"/>
      </w:rPr>
      <w:t xml:space="preserve"> </w:t>
    </w:r>
    <w:r w:rsidR="00E26618" w:rsidRPr="00E26618">
      <w:rPr>
        <w:rFonts w:ascii="Calibri" w:hAnsi="Calibri" w:cs="Calibri"/>
        <w:sz w:val="20"/>
        <w:szCs w:val="20"/>
      </w:rPr>
      <w:fldChar w:fldCharType="begin"/>
    </w:r>
    <w:r w:rsidR="00E26618" w:rsidRPr="00E26618">
      <w:rPr>
        <w:rFonts w:ascii="Calibri" w:hAnsi="Calibri" w:cs="Calibri"/>
        <w:sz w:val="20"/>
        <w:szCs w:val="20"/>
      </w:rPr>
      <w:instrText>PAGE   \* MERGEFORMAT</w:instrText>
    </w:r>
    <w:r w:rsidR="00E26618" w:rsidRPr="00E26618">
      <w:rPr>
        <w:rFonts w:ascii="Calibri" w:hAnsi="Calibri" w:cs="Calibri"/>
        <w:sz w:val="20"/>
        <w:szCs w:val="20"/>
      </w:rPr>
      <w:fldChar w:fldCharType="separate"/>
    </w:r>
    <w:r w:rsidR="00D81527">
      <w:rPr>
        <w:rFonts w:ascii="Calibri" w:hAnsi="Calibri" w:cs="Calibri"/>
        <w:noProof/>
        <w:sz w:val="20"/>
        <w:szCs w:val="20"/>
      </w:rPr>
      <w:t>1</w:t>
    </w:r>
    <w:r w:rsidR="00E26618" w:rsidRPr="00E26618">
      <w:rPr>
        <w:rFonts w:ascii="Calibri" w:hAnsi="Calibri" w:cs="Calibri"/>
        <w:sz w:val="20"/>
        <w:szCs w:val="20"/>
      </w:rPr>
      <w:fldChar w:fldCharType="end"/>
    </w:r>
    <w:r w:rsidR="00E26618">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7C7C" w14:textId="77777777" w:rsidR="002013BB" w:rsidRDefault="002013BB" w:rsidP="00224DD8">
      <w:r>
        <w:separator/>
      </w:r>
    </w:p>
  </w:footnote>
  <w:footnote w:type="continuationSeparator" w:id="0">
    <w:p w14:paraId="518222E8" w14:textId="77777777" w:rsidR="002013BB" w:rsidRDefault="002013BB" w:rsidP="00224DD8">
      <w:r>
        <w:continuationSeparator/>
      </w:r>
    </w:p>
  </w:footnote>
  <w:footnote w:id="1">
    <w:p w14:paraId="6864AEC2" w14:textId="77777777" w:rsidR="00D234FB" w:rsidRDefault="00D234FB" w:rsidP="00D234FB">
      <w:pPr>
        <w:pStyle w:val="Testonotaapidipagina"/>
        <w:jc w:val="both"/>
      </w:pPr>
      <w:r w:rsidRPr="008B0971">
        <w:rPr>
          <w:rStyle w:val="Rimandonotaapidipagina"/>
          <w:sz w:val="16"/>
        </w:rPr>
        <w:footnoteRef/>
      </w:r>
      <w:r w:rsidRPr="008B0971">
        <w:rPr>
          <w:sz w:val="16"/>
        </w:rPr>
        <w:t xml:space="preserve"> </w:t>
      </w:r>
      <w:r w:rsidRPr="008B0971">
        <w:rPr>
          <w:rFonts w:asciiTheme="majorHAnsi" w:hAnsiTheme="majorHAnsi" w:cstheme="majorHAnsi"/>
          <w:sz w:val="16"/>
        </w:rPr>
        <w:t>Il prodotto in questione non prevede un investimento iniziale da parte del Cliente. Pertanto i calcoli sugli scenari di performance sono basati sul valore dell’Importo Nozionale (Capitale di Riferimento) indicato in contratto, ipotizzando variazioni sfavorevoli, neutre e favorevoli dell'attività di riferimento sottostante: EUR/DOLLARO.</w:t>
      </w:r>
    </w:p>
  </w:footnote>
  <w:footnote w:id="2">
    <w:p w14:paraId="79913A4A" w14:textId="77777777" w:rsidR="00D234FB" w:rsidRDefault="00D234FB" w:rsidP="00D234FB">
      <w:pPr>
        <w:pStyle w:val="Testonotaapidipagina"/>
      </w:pPr>
      <w:r w:rsidRPr="006C45B5">
        <w:rPr>
          <w:rStyle w:val="Rimandonotaapidipagina"/>
          <w:sz w:val="16"/>
        </w:rPr>
        <w:footnoteRef/>
      </w:r>
      <w:r w:rsidRPr="006C45B5">
        <w:rPr>
          <w:sz w:val="16"/>
        </w:rPr>
        <w:t xml:space="preserve"> </w:t>
      </w:r>
      <w:r w:rsidRPr="006C45B5">
        <w:rPr>
          <w:rFonts w:asciiTheme="majorHAnsi" w:hAnsiTheme="majorHAnsi" w:cstheme="majorHAnsi"/>
          <w:sz w:val="16"/>
        </w:rPr>
        <w:t>Il prodotto in questione non prevede un investimento iniziale da parte del Cliente. Pertanto i calcoli sui costi sono basati su un valore teorico di Capitale di Riferimento.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DD63" w14:textId="77777777" w:rsidR="008052D5" w:rsidRDefault="008052D5">
    <w:pPr>
      <w:pStyle w:val="Intestazione"/>
    </w:pPr>
    <w:r>
      <w:rPr>
        <w:noProof/>
      </w:rPr>
      <w:drawing>
        <wp:anchor distT="0" distB="0" distL="114300" distR="114300" simplePos="0" relativeHeight="251648512" behindDoc="1" locked="1" layoutInCell="1" allowOverlap="1" wp14:anchorId="18C4A3B5" wp14:editId="4AC90D60">
          <wp:simplePos x="0" y="0"/>
          <wp:positionH relativeFrom="page">
            <wp:align>right</wp:align>
          </wp:positionH>
          <wp:positionV relativeFrom="page">
            <wp:align>top</wp:align>
          </wp:positionV>
          <wp:extent cx="795020" cy="1765300"/>
          <wp:effectExtent l="0" t="0" r="0" b="0"/>
          <wp:wrapNone/>
          <wp:docPr id="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600" cy="176495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60800" behindDoc="1" locked="1" layoutInCell="1" allowOverlap="1" wp14:anchorId="1E1305AD" wp14:editId="5ACD839B">
          <wp:simplePos x="0" y="0"/>
          <wp:positionH relativeFrom="page">
            <wp:posOffset>-64770</wp:posOffset>
          </wp:positionH>
          <wp:positionV relativeFrom="page">
            <wp:posOffset>0</wp:posOffset>
          </wp:positionV>
          <wp:extent cx="1485265" cy="1094105"/>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485265" cy="10941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A408" w14:textId="77777777" w:rsidR="002259D4" w:rsidRDefault="002259D4">
    <w:pPr>
      <w:pStyle w:val="Intestazione"/>
    </w:pPr>
    <w:r>
      <w:rPr>
        <w:noProof/>
      </w:rPr>
      <w:drawing>
        <wp:anchor distT="0" distB="0" distL="114300" distR="114300" simplePos="0" relativeHeight="251651584" behindDoc="1" locked="1" layoutInCell="1" allowOverlap="1" wp14:anchorId="67A89804" wp14:editId="49DCAF0A">
          <wp:simplePos x="0" y="0"/>
          <wp:positionH relativeFrom="page">
            <wp:align>right</wp:align>
          </wp:positionH>
          <wp:positionV relativeFrom="page">
            <wp:align>top</wp:align>
          </wp:positionV>
          <wp:extent cx="795020" cy="1765300"/>
          <wp:effectExtent l="0" t="0" r="0" b="12700"/>
          <wp:wrapNone/>
          <wp:docPr id="1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020" cy="17653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54656" behindDoc="1" locked="1" layoutInCell="1" allowOverlap="1" wp14:anchorId="3233E774" wp14:editId="0C43184C">
          <wp:simplePos x="0" y="0"/>
          <wp:positionH relativeFrom="page">
            <wp:posOffset>-64770</wp:posOffset>
          </wp:positionH>
          <wp:positionV relativeFrom="page">
            <wp:posOffset>0</wp:posOffset>
          </wp:positionV>
          <wp:extent cx="1636395" cy="1145540"/>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636395" cy="11455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DDA"/>
    <w:multiLevelType w:val="hybridMultilevel"/>
    <w:tmpl w:val="41C8FD8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B52330"/>
    <w:multiLevelType w:val="hybridMultilevel"/>
    <w:tmpl w:val="027CD1FE"/>
    <w:lvl w:ilvl="0" w:tplc="18643798">
      <w:start w:val="1"/>
      <w:numFmt w:val="bullet"/>
      <w:pStyle w:val="Paragrafoelenco"/>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761421"/>
    <w:multiLevelType w:val="hybridMultilevel"/>
    <w:tmpl w:val="B4466D5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4A0C90"/>
    <w:multiLevelType w:val="hybridMultilevel"/>
    <w:tmpl w:val="2D847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D965B6"/>
    <w:multiLevelType w:val="hybridMultilevel"/>
    <w:tmpl w:val="6C8A7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C25E7A"/>
    <w:multiLevelType w:val="hybridMultilevel"/>
    <w:tmpl w:val="07FA4648"/>
    <w:lvl w:ilvl="0" w:tplc="8A3C9D60">
      <w:numFmt w:val="bullet"/>
      <w:lvlText w:val="-"/>
      <w:lvlJc w:val="left"/>
      <w:pPr>
        <w:ind w:left="720" w:hanging="360"/>
      </w:pPr>
      <w:rPr>
        <w:rFonts w:ascii="Calibri" w:eastAsiaTheme="minorEastAsia" w:hAnsi="Calibri" w:cstheme="maj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99"/>
    <w:rsid w:val="000009DD"/>
    <w:rsid w:val="00003ECD"/>
    <w:rsid w:val="00025A40"/>
    <w:rsid w:val="00031963"/>
    <w:rsid w:val="00036D39"/>
    <w:rsid w:val="000748B5"/>
    <w:rsid w:val="000918EB"/>
    <w:rsid w:val="00093ADD"/>
    <w:rsid w:val="00102343"/>
    <w:rsid w:val="0010671D"/>
    <w:rsid w:val="001122AE"/>
    <w:rsid w:val="00133948"/>
    <w:rsid w:val="00140DCA"/>
    <w:rsid w:val="00142BAF"/>
    <w:rsid w:val="00164806"/>
    <w:rsid w:val="00171E0C"/>
    <w:rsid w:val="001B125A"/>
    <w:rsid w:val="002013BB"/>
    <w:rsid w:val="00201499"/>
    <w:rsid w:val="00202F6E"/>
    <w:rsid w:val="00213B45"/>
    <w:rsid w:val="00223ADB"/>
    <w:rsid w:val="00223C0C"/>
    <w:rsid w:val="00224DD8"/>
    <w:rsid w:val="002259D4"/>
    <w:rsid w:val="00235E07"/>
    <w:rsid w:val="00241B2B"/>
    <w:rsid w:val="002B2E0A"/>
    <w:rsid w:val="002B2EC8"/>
    <w:rsid w:val="002E1F57"/>
    <w:rsid w:val="002E5AB2"/>
    <w:rsid w:val="002E7E31"/>
    <w:rsid w:val="002F5D7C"/>
    <w:rsid w:val="003128D8"/>
    <w:rsid w:val="003437DE"/>
    <w:rsid w:val="00352CDB"/>
    <w:rsid w:val="003805FD"/>
    <w:rsid w:val="00390038"/>
    <w:rsid w:val="003E1EB2"/>
    <w:rsid w:val="003F7315"/>
    <w:rsid w:val="004021D8"/>
    <w:rsid w:val="004066F1"/>
    <w:rsid w:val="00411711"/>
    <w:rsid w:val="004342A9"/>
    <w:rsid w:val="004529E1"/>
    <w:rsid w:val="004577E4"/>
    <w:rsid w:val="00460B7E"/>
    <w:rsid w:val="00475794"/>
    <w:rsid w:val="00497D70"/>
    <w:rsid w:val="004F1B09"/>
    <w:rsid w:val="004F5C71"/>
    <w:rsid w:val="00513EC2"/>
    <w:rsid w:val="00527B07"/>
    <w:rsid w:val="00527C01"/>
    <w:rsid w:val="00534D7C"/>
    <w:rsid w:val="00572246"/>
    <w:rsid w:val="00573A2D"/>
    <w:rsid w:val="00577344"/>
    <w:rsid w:val="00583589"/>
    <w:rsid w:val="00584DC8"/>
    <w:rsid w:val="00594119"/>
    <w:rsid w:val="005E1A24"/>
    <w:rsid w:val="005F05E1"/>
    <w:rsid w:val="00616340"/>
    <w:rsid w:val="006227FD"/>
    <w:rsid w:val="006362E4"/>
    <w:rsid w:val="0064524A"/>
    <w:rsid w:val="0064716F"/>
    <w:rsid w:val="00664CD6"/>
    <w:rsid w:val="00672774"/>
    <w:rsid w:val="00673170"/>
    <w:rsid w:val="00681CBE"/>
    <w:rsid w:val="006A45B2"/>
    <w:rsid w:val="006B3393"/>
    <w:rsid w:val="006D10DB"/>
    <w:rsid w:val="006E7AAF"/>
    <w:rsid w:val="00712B09"/>
    <w:rsid w:val="00712B0F"/>
    <w:rsid w:val="007215B8"/>
    <w:rsid w:val="00725B10"/>
    <w:rsid w:val="0072662B"/>
    <w:rsid w:val="007303FE"/>
    <w:rsid w:val="007812E1"/>
    <w:rsid w:val="00790268"/>
    <w:rsid w:val="007E75BC"/>
    <w:rsid w:val="007F789D"/>
    <w:rsid w:val="008052D5"/>
    <w:rsid w:val="00815152"/>
    <w:rsid w:val="00826D21"/>
    <w:rsid w:val="00832097"/>
    <w:rsid w:val="0085141F"/>
    <w:rsid w:val="0086543F"/>
    <w:rsid w:val="00882D20"/>
    <w:rsid w:val="008834A8"/>
    <w:rsid w:val="008A5D22"/>
    <w:rsid w:val="008B6D40"/>
    <w:rsid w:val="008B7F74"/>
    <w:rsid w:val="008C4378"/>
    <w:rsid w:val="008D6444"/>
    <w:rsid w:val="008E211A"/>
    <w:rsid w:val="008F08E9"/>
    <w:rsid w:val="00917402"/>
    <w:rsid w:val="00923241"/>
    <w:rsid w:val="009240A6"/>
    <w:rsid w:val="0093281D"/>
    <w:rsid w:val="0093431F"/>
    <w:rsid w:val="00956A94"/>
    <w:rsid w:val="00960461"/>
    <w:rsid w:val="00972179"/>
    <w:rsid w:val="00973192"/>
    <w:rsid w:val="00973757"/>
    <w:rsid w:val="00992892"/>
    <w:rsid w:val="009B75D3"/>
    <w:rsid w:val="009C02F3"/>
    <w:rsid w:val="009D5273"/>
    <w:rsid w:val="009E217A"/>
    <w:rsid w:val="009F13E2"/>
    <w:rsid w:val="009F5D68"/>
    <w:rsid w:val="00A10672"/>
    <w:rsid w:val="00A13F98"/>
    <w:rsid w:val="00A4736D"/>
    <w:rsid w:val="00A663BD"/>
    <w:rsid w:val="00A715A6"/>
    <w:rsid w:val="00A87D59"/>
    <w:rsid w:val="00AA3237"/>
    <w:rsid w:val="00AD447A"/>
    <w:rsid w:val="00AF2D9A"/>
    <w:rsid w:val="00B035C7"/>
    <w:rsid w:val="00B219CC"/>
    <w:rsid w:val="00B50914"/>
    <w:rsid w:val="00B52278"/>
    <w:rsid w:val="00B53904"/>
    <w:rsid w:val="00B65830"/>
    <w:rsid w:val="00B701D8"/>
    <w:rsid w:val="00B9386A"/>
    <w:rsid w:val="00B96895"/>
    <w:rsid w:val="00BA47BD"/>
    <w:rsid w:val="00BA492C"/>
    <w:rsid w:val="00BB3A98"/>
    <w:rsid w:val="00BF474B"/>
    <w:rsid w:val="00C03B9E"/>
    <w:rsid w:val="00C065BA"/>
    <w:rsid w:val="00C32EDF"/>
    <w:rsid w:val="00C477F6"/>
    <w:rsid w:val="00C51D4F"/>
    <w:rsid w:val="00C52613"/>
    <w:rsid w:val="00C622A9"/>
    <w:rsid w:val="00C63119"/>
    <w:rsid w:val="00C7721D"/>
    <w:rsid w:val="00CE06AD"/>
    <w:rsid w:val="00CF4D9B"/>
    <w:rsid w:val="00D20F2F"/>
    <w:rsid w:val="00D234FB"/>
    <w:rsid w:val="00D3067B"/>
    <w:rsid w:val="00D517A9"/>
    <w:rsid w:val="00D650C2"/>
    <w:rsid w:val="00D81527"/>
    <w:rsid w:val="00D90D2D"/>
    <w:rsid w:val="00D92180"/>
    <w:rsid w:val="00DA2616"/>
    <w:rsid w:val="00DC04F7"/>
    <w:rsid w:val="00DC30EB"/>
    <w:rsid w:val="00DC68F6"/>
    <w:rsid w:val="00DC74C7"/>
    <w:rsid w:val="00DD6C7F"/>
    <w:rsid w:val="00DE2DE6"/>
    <w:rsid w:val="00E07C46"/>
    <w:rsid w:val="00E26618"/>
    <w:rsid w:val="00E340E9"/>
    <w:rsid w:val="00E40BE0"/>
    <w:rsid w:val="00E47B8F"/>
    <w:rsid w:val="00E5408E"/>
    <w:rsid w:val="00E70E9D"/>
    <w:rsid w:val="00E803C4"/>
    <w:rsid w:val="00E843FF"/>
    <w:rsid w:val="00E9105C"/>
    <w:rsid w:val="00E9247A"/>
    <w:rsid w:val="00EB33A8"/>
    <w:rsid w:val="00ED2C58"/>
    <w:rsid w:val="00EE43A2"/>
    <w:rsid w:val="00EE6F85"/>
    <w:rsid w:val="00F05626"/>
    <w:rsid w:val="00F53E10"/>
    <w:rsid w:val="00F72D79"/>
    <w:rsid w:val="00F81D31"/>
    <w:rsid w:val="00F82170"/>
    <w:rsid w:val="00F93F51"/>
    <w:rsid w:val="00FA2ED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AB4E6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6">
    <w:name w:val="heading 6"/>
    <w:basedOn w:val="Normale"/>
    <w:next w:val="Normale"/>
    <w:link w:val="Titolo6Carattere"/>
    <w:qFormat/>
    <w:rsid w:val="00DE2DE6"/>
    <w:pPr>
      <w:keepNext/>
      <w:jc w:val="center"/>
      <w:outlineLvl w:val="5"/>
    </w:pPr>
    <w:rPr>
      <w:rFonts w:ascii="Verdana" w:eastAsia="Times New Roman" w:hAnsi="Verdana" w:cs="Times New Roman"/>
      <w:i/>
      <w:iCs/>
      <w:color w:val="808080"/>
      <w:sz w:val="16"/>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24DD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24DD8"/>
    <w:rPr>
      <w:rFonts w:ascii="Lucida Grande" w:hAnsi="Lucida Grande" w:cs="Lucida Grande"/>
      <w:sz w:val="18"/>
      <w:szCs w:val="18"/>
    </w:rPr>
  </w:style>
  <w:style w:type="paragraph" w:styleId="Intestazione">
    <w:name w:val="header"/>
    <w:basedOn w:val="Normale"/>
    <w:link w:val="IntestazioneCarattere"/>
    <w:uiPriority w:val="99"/>
    <w:unhideWhenUsed/>
    <w:rsid w:val="00224DD8"/>
    <w:pPr>
      <w:tabs>
        <w:tab w:val="center" w:pos="4819"/>
        <w:tab w:val="right" w:pos="9638"/>
      </w:tabs>
    </w:pPr>
  </w:style>
  <w:style w:type="character" w:customStyle="1" w:styleId="IntestazioneCarattere">
    <w:name w:val="Intestazione Carattere"/>
    <w:basedOn w:val="Carpredefinitoparagrafo"/>
    <w:link w:val="Intestazione"/>
    <w:uiPriority w:val="99"/>
    <w:rsid w:val="00224DD8"/>
  </w:style>
  <w:style w:type="paragraph" w:styleId="Pidipagina">
    <w:name w:val="footer"/>
    <w:basedOn w:val="Normale"/>
    <w:link w:val="PidipaginaCarattere"/>
    <w:uiPriority w:val="99"/>
    <w:unhideWhenUsed/>
    <w:rsid w:val="00224DD8"/>
    <w:pPr>
      <w:tabs>
        <w:tab w:val="center" w:pos="4819"/>
        <w:tab w:val="right" w:pos="9638"/>
      </w:tabs>
    </w:pPr>
  </w:style>
  <w:style w:type="character" w:customStyle="1" w:styleId="PidipaginaCarattere">
    <w:name w:val="Piè di pagina Carattere"/>
    <w:basedOn w:val="Carpredefinitoparagrafo"/>
    <w:link w:val="Pidipagina"/>
    <w:uiPriority w:val="99"/>
    <w:rsid w:val="00224DD8"/>
  </w:style>
  <w:style w:type="character" w:customStyle="1" w:styleId="Titolo6Carattere">
    <w:name w:val="Titolo 6 Carattere"/>
    <w:basedOn w:val="Carpredefinitoparagrafo"/>
    <w:link w:val="Titolo6"/>
    <w:rsid w:val="00DE2DE6"/>
    <w:rPr>
      <w:rFonts w:ascii="Verdana" w:eastAsia="Times New Roman" w:hAnsi="Verdana" w:cs="Times New Roman"/>
      <w:i/>
      <w:iCs/>
      <w:color w:val="808080"/>
      <w:sz w:val="16"/>
      <w:szCs w:val="20"/>
    </w:rPr>
  </w:style>
  <w:style w:type="paragraph" w:customStyle="1" w:styleId="Body">
    <w:name w:val="Body"/>
    <w:basedOn w:val="Normale"/>
    <w:rsid w:val="00DE2DE6"/>
    <w:pPr>
      <w:spacing w:after="140" w:line="290" w:lineRule="auto"/>
      <w:jc w:val="both"/>
    </w:pPr>
    <w:rPr>
      <w:rFonts w:ascii="Arial" w:eastAsia="Times New Roman" w:hAnsi="Arial" w:cs="Times New Roman"/>
      <w:kern w:val="20"/>
      <w:sz w:val="20"/>
      <w:lang w:val="en-GB" w:eastAsia="en-US"/>
    </w:rPr>
  </w:style>
  <w:style w:type="paragraph" w:styleId="Corpotesto">
    <w:name w:val="Body Text"/>
    <w:basedOn w:val="Normale"/>
    <w:link w:val="CorpotestoCarattere"/>
    <w:semiHidden/>
    <w:rsid w:val="00DE2DE6"/>
    <w:pPr>
      <w:jc w:val="both"/>
    </w:pPr>
    <w:rPr>
      <w:rFonts w:ascii="Arial" w:eastAsia="Times New Roman" w:hAnsi="Arial" w:cs="Times New Roman"/>
      <w:sz w:val="22"/>
      <w:szCs w:val="22"/>
      <w:lang w:eastAsia="en-US"/>
    </w:rPr>
  </w:style>
  <w:style w:type="character" w:customStyle="1" w:styleId="CorpotestoCarattere">
    <w:name w:val="Corpo testo Carattere"/>
    <w:basedOn w:val="Carpredefinitoparagrafo"/>
    <w:link w:val="Corpotesto"/>
    <w:semiHidden/>
    <w:rsid w:val="00DE2DE6"/>
    <w:rPr>
      <w:rFonts w:ascii="Arial" w:eastAsia="Times New Roman" w:hAnsi="Arial" w:cs="Times New Roman"/>
      <w:sz w:val="22"/>
      <w:szCs w:val="22"/>
      <w:lang w:eastAsia="en-US"/>
    </w:rPr>
  </w:style>
  <w:style w:type="character" w:styleId="Collegamentoipertestuale">
    <w:name w:val="Hyperlink"/>
    <w:uiPriority w:val="99"/>
    <w:rsid w:val="00527B07"/>
    <w:rPr>
      <w:color w:val="0000FF"/>
      <w:u w:val="single"/>
    </w:rPr>
  </w:style>
  <w:style w:type="table" w:styleId="Grigliatabella">
    <w:name w:val="Table Grid"/>
    <w:basedOn w:val="Tabellanormale"/>
    <w:uiPriority w:val="59"/>
    <w:rsid w:val="00E80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aliases w:val="Testo elenco,Dash List Paragraph"/>
    <w:basedOn w:val="Normale"/>
    <w:link w:val="ParagrafoelencoCarattere"/>
    <w:uiPriority w:val="34"/>
    <w:qFormat/>
    <w:rsid w:val="00E9105C"/>
    <w:pPr>
      <w:numPr>
        <w:numId w:val="1"/>
      </w:numPr>
      <w:spacing w:before="120" w:after="120"/>
      <w:contextualSpacing/>
    </w:pPr>
    <w:rPr>
      <w:rFonts w:ascii="Arial" w:eastAsia="Calibri" w:hAnsi="Arial" w:cs="Arial"/>
      <w:sz w:val="20"/>
      <w:szCs w:val="20"/>
      <w:lang w:eastAsia="en-US"/>
    </w:rPr>
  </w:style>
  <w:style w:type="character" w:customStyle="1" w:styleId="ParagrafoelencoCarattere">
    <w:name w:val="Paragrafo elenco Carattere"/>
    <w:aliases w:val="Testo elenco Carattere,Dash List Paragraph Carattere"/>
    <w:link w:val="Paragrafoelenco"/>
    <w:uiPriority w:val="34"/>
    <w:rsid w:val="00E9105C"/>
    <w:rPr>
      <w:rFonts w:ascii="Arial" w:eastAsia="Calibri" w:hAnsi="Arial" w:cs="Arial"/>
      <w:sz w:val="20"/>
      <w:szCs w:val="20"/>
      <w:lang w:eastAsia="en-US"/>
    </w:rPr>
  </w:style>
  <w:style w:type="paragraph" w:styleId="Testonotaapidipagina">
    <w:name w:val="footnote text"/>
    <w:basedOn w:val="Normale"/>
    <w:link w:val="TestonotaapidipaginaCarattere"/>
    <w:uiPriority w:val="99"/>
    <w:semiHidden/>
    <w:unhideWhenUsed/>
    <w:rsid w:val="00B65830"/>
    <w:rPr>
      <w:sz w:val="20"/>
      <w:szCs w:val="20"/>
    </w:rPr>
  </w:style>
  <w:style w:type="character" w:customStyle="1" w:styleId="TestonotaapidipaginaCarattere">
    <w:name w:val="Testo nota a piè di pagina Carattere"/>
    <w:basedOn w:val="Carpredefinitoparagrafo"/>
    <w:link w:val="Testonotaapidipagina"/>
    <w:uiPriority w:val="99"/>
    <w:semiHidden/>
    <w:rsid w:val="00B65830"/>
    <w:rPr>
      <w:sz w:val="20"/>
      <w:szCs w:val="20"/>
    </w:rPr>
  </w:style>
  <w:style w:type="character" w:styleId="Rimandonotaapidipagina">
    <w:name w:val="footnote reference"/>
    <w:basedOn w:val="Carpredefinitoparagrafo"/>
    <w:uiPriority w:val="99"/>
    <w:semiHidden/>
    <w:unhideWhenUsed/>
    <w:rsid w:val="00B65830"/>
    <w:rPr>
      <w:vertAlign w:val="superscript"/>
    </w:rPr>
  </w:style>
  <w:style w:type="table" w:styleId="Tabellagriglia2-colore1">
    <w:name w:val="Grid Table 2 Accent 1"/>
    <w:basedOn w:val="Tabellanormale"/>
    <w:uiPriority w:val="47"/>
    <w:rsid w:val="00B6583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CF4D9B"/>
    <w:pPr>
      <w:spacing w:before="100" w:beforeAutospacing="1" w:after="100" w:afterAutospacing="1"/>
    </w:pPr>
    <w:rPr>
      <w:rFonts w:ascii="Times New Roman" w:eastAsia="Times New Roman" w:hAnsi="Times New Roman" w:cs="Times New Roman"/>
    </w:rPr>
  </w:style>
  <w:style w:type="table" w:customStyle="1" w:styleId="Tabellagriglia2-colore11">
    <w:name w:val="Tabella griglia 2 - colore 11"/>
    <w:basedOn w:val="Tabellanormale"/>
    <w:uiPriority w:val="47"/>
    <w:rsid w:val="004529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e">
    <w:name w:val="Revision"/>
    <w:hidden/>
    <w:uiPriority w:val="99"/>
    <w:semiHidden/>
    <w:rsid w:val="007215B8"/>
  </w:style>
  <w:style w:type="character" w:styleId="Rimandocommento">
    <w:name w:val="annotation reference"/>
    <w:basedOn w:val="Carpredefinitoparagrafo"/>
    <w:uiPriority w:val="99"/>
    <w:semiHidden/>
    <w:unhideWhenUsed/>
    <w:rsid w:val="00C7721D"/>
    <w:rPr>
      <w:sz w:val="16"/>
      <w:szCs w:val="16"/>
    </w:rPr>
  </w:style>
  <w:style w:type="paragraph" w:styleId="Testocommento">
    <w:name w:val="annotation text"/>
    <w:basedOn w:val="Normale"/>
    <w:link w:val="TestocommentoCarattere"/>
    <w:uiPriority w:val="99"/>
    <w:semiHidden/>
    <w:unhideWhenUsed/>
    <w:rsid w:val="00C7721D"/>
    <w:rPr>
      <w:sz w:val="20"/>
      <w:szCs w:val="20"/>
    </w:rPr>
  </w:style>
  <w:style w:type="character" w:customStyle="1" w:styleId="TestocommentoCarattere">
    <w:name w:val="Testo commento Carattere"/>
    <w:basedOn w:val="Carpredefinitoparagrafo"/>
    <w:link w:val="Testocommento"/>
    <w:uiPriority w:val="99"/>
    <w:semiHidden/>
    <w:rsid w:val="00C7721D"/>
    <w:rPr>
      <w:sz w:val="20"/>
      <w:szCs w:val="20"/>
    </w:rPr>
  </w:style>
  <w:style w:type="paragraph" w:styleId="Soggettocommento">
    <w:name w:val="annotation subject"/>
    <w:basedOn w:val="Testocommento"/>
    <w:next w:val="Testocommento"/>
    <w:link w:val="SoggettocommentoCarattere"/>
    <w:uiPriority w:val="99"/>
    <w:semiHidden/>
    <w:unhideWhenUsed/>
    <w:rsid w:val="00C7721D"/>
    <w:rPr>
      <w:b/>
      <w:bCs/>
    </w:rPr>
  </w:style>
  <w:style w:type="character" w:customStyle="1" w:styleId="SoggettocommentoCarattere">
    <w:name w:val="Soggetto commento Carattere"/>
    <w:basedOn w:val="TestocommentoCarattere"/>
    <w:link w:val="Soggettocommento"/>
    <w:uiPriority w:val="99"/>
    <w:semiHidden/>
    <w:rsid w:val="00C7721D"/>
    <w:rPr>
      <w:b/>
      <w:bCs/>
      <w:sz w:val="20"/>
      <w:szCs w:val="20"/>
    </w:rPr>
  </w:style>
  <w:style w:type="character" w:styleId="Menzionenonrisolta">
    <w:name w:val="Unresolved Mention"/>
    <w:basedOn w:val="Carpredefinitoparagrafo"/>
    <w:uiPriority w:val="99"/>
    <w:semiHidden/>
    <w:unhideWhenUsed/>
    <w:rsid w:val="00164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82697">
      <w:bodyDiv w:val="1"/>
      <w:marLeft w:val="0"/>
      <w:marRight w:val="0"/>
      <w:marTop w:val="0"/>
      <w:marBottom w:val="0"/>
      <w:divBdr>
        <w:top w:val="none" w:sz="0" w:space="0" w:color="auto"/>
        <w:left w:val="none" w:sz="0" w:space="0" w:color="auto"/>
        <w:bottom w:val="none" w:sz="0" w:space="0" w:color="auto"/>
        <w:right w:val="none" w:sz="0" w:space="0" w:color="auto"/>
      </w:divBdr>
    </w:div>
    <w:div w:id="679621330">
      <w:bodyDiv w:val="1"/>
      <w:marLeft w:val="0"/>
      <w:marRight w:val="0"/>
      <w:marTop w:val="0"/>
      <w:marBottom w:val="0"/>
      <w:divBdr>
        <w:top w:val="none" w:sz="0" w:space="0" w:color="auto"/>
        <w:left w:val="none" w:sz="0" w:space="0" w:color="auto"/>
        <w:bottom w:val="none" w:sz="0" w:space="0" w:color="auto"/>
        <w:right w:val="none" w:sz="0" w:space="0" w:color="auto"/>
      </w:divBdr>
    </w:div>
    <w:div w:id="977807092">
      <w:bodyDiv w:val="1"/>
      <w:marLeft w:val="0"/>
      <w:marRight w:val="0"/>
      <w:marTop w:val="0"/>
      <w:marBottom w:val="0"/>
      <w:divBdr>
        <w:top w:val="none" w:sz="0" w:space="0" w:color="auto"/>
        <w:left w:val="none" w:sz="0" w:space="0" w:color="auto"/>
        <w:bottom w:val="none" w:sz="0" w:space="0" w:color="auto"/>
        <w:right w:val="none" w:sz="0" w:space="0" w:color="auto"/>
      </w:divBdr>
    </w:div>
    <w:div w:id="1878808370">
      <w:bodyDiv w:val="1"/>
      <w:marLeft w:val="0"/>
      <w:marRight w:val="0"/>
      <w:marTop w:val="0"/>
      <w:marBottom w:val="0"/>
      <w:divBdr>
        <w:top w:val="none" w:sz="0" w:space="0" w:color="auto"/>
        <w:left w:val="none" w:sz="0" w:space="0" w:color="auto"/>
        <w:bottom w:val="none" w:sz="0" w:space="0" w:color="auto"/>
        <w:right w:val="none" w:sz="0" w:space="0" w:color="auto"/>
      </w:divBdr>
    </w:div>
    <w:div w:id="1980382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lami.pec@bancaifis.legalmail.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eclami@bancaifis.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hyperlink" Target="http://www.bancaifis.it" TargetMode="External"/><Relationship Id="rId10" Type="http://schemas.openxmlformats.org/officeDocument/2006/relationships/hyperlink" Target="http://www.bancaifis.i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ancaifis.i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431FFB031D7854A877EDC17C74CB25B" ma:contentTypeVersion="0" ma:contentTypeDescription="Creare un nuovo documento." ma:contentTypeScope="" ma:versionID="7ee02d1265efd8660bc3ca5775cf9e9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B3AD7-560E-4904-A9E3-EE11A0B69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7CDB045-DC13-4B6A-AF03-D72A16116655}">
  <ds:schemaRefs>
    <ds:schemaRef ds:uri="http://schemas.microsoft.com/sharepoint/v3/contenttype/forms"/>
  </ds:schemaRefs>
</ds:datastoreItem>
</file>

<file path=customXml/itemProps3.xml><?xml version="1.0" encoding="utf-8"?>
<ds:datastoreItem xmlns:ds="http://schemas.openxmlformats.org/officeDocument/2006/customXml" ds:itemID="{E5962467-6AD3-472B-95AA-02F0FA33765E}">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1570</Words>
  <Characters>8953</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Carta Intestata Banca IFIS Impresa</vt:lpstr>
    </vt:vector>
  </TitlesOfParts>
  <Company>Emporioadv</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Intestata Banca IFIS Impresa</dc:title>
  <dc:creator>m.scapin</dc:creator>
  <cp:lastModifiedBy>Rita Capocasale</cp:lastModifiedBy>
  <cp:revision>4</cp:revision>
  <cp:lastPrinted>2018-03-09T11:35:00Z</cp:lastPrinted>
  <dcterms:created xsi:type="dcterms:W3CDTF">2018-11-08T13:58:00Z</dcterms:created>
  <dcterms:modified xsi:type="dcterms:W3CDTF">2018-11-16T13:46:00Z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rmativaEmanatore">
    <vt:lpwstr>147;#Comunicazione|1644a99d-f17b-436b-8834-31b427f9c8b2</vt:lpwstr>
  </property>
  <property fmtid="{D5CDD505-2E9C-101B-9397-08002B2CF9AE}" pid="3" name="NormativaClassificazione">
    <vt:lpwstr>65;#Corporate Identity|30b9de3c-f07a-4e3d-86cb-a10130a25bb5</vt:lpwstr>
  </property>
  <property fmtid="{D5CDD505-2E9C-101B-9397-08002B2CF9AE}" pid="4" name="ContentTypeId">
    <vt:lpwstr>0x0101004431FFB031D7854A877EDC17C74CB25B</vt:lpwstr>
  </property>
  <property fmtid="{D5CDD505-2E9C-101B-9397-08002B2CF9AE}" pid="5" name="NormativaLingua">
    <vt:lpwstr>1;#Italiano|bdd6b5c3-1f24-4753-8c66-8e35fe208652</vt:lpwstr>
  </property>
  <property fmtid="{D5CDD505-2E9C-101B-9397-08002B2CF9AE}" pid="6" name="NormativaASAAmbito">
    <vt:lpwstr>16;#Crediti Commerciali|5b0ba8a7-e876-4f4a-a4e4-ff496223e6c4</vt:lpwstr>
  </property>
  <property fmtid="{D5CDD505-2E9C-101B-9397-08002B2CF9AE}" pid="7" name="NormativaTarget">
    <vt:lpwstr>4;#Tutti|e46db668-e75d-4db5-aead-3fb1cbd7cf35</vt:lpwstr>
  </property>
  <property fmtid="{D5CDD505-2E9C-101B-9397-08002B2CF9AE}" pid="8" name="NormativaRuoloApprovatore">
    <vt:lpwstr>Responsabile Funzione Comunicazione</vt:lpwstr>
  </property>
  <property fmtid="{D5CDD505-2E9C-101B-9397-08002B2CF9AE}" pid="9" name="NormativaConvenzione">
    <vt:lpwstr/>
  </property>
  <property fmtid="{D5CDD505-2E9C-101B-9397-08002B2CF9AE}" pid="10" name="TaxCatchAll">
    <vt:lpwstr>1;#Italiano|bdd6b5c3-1f24-4753-8c66-8e35fe208652</vt:lpwstr>
  </property>
  <property fmtid="{D5CDD505-2E9C-101B-9397-08002B2CF9AE}" pid="11" name="NormativaFase">
    <vt:lpwstr/>
  </property>
  <property fmtid="{D5CDD505-2E9C-101B-9397-08002B2CF9AE}" pid="12" name="NormativaTipologiaContratto">
    <vt:lpwstr>81;#Non applicabile|9a5b7de4-f547-40b6-aba9-451a74e5baa3</vt:lpwstr>
  </property>
  <property fmtid="{D5CDD505-2E9C-101B-9397-08002B2CF9AE}" pid="13" name="NormativaFormeTecniche">
    <vt:lpwstr/>
  </property>
  <property fmtid="{D5CDD505-2E9C-101B-9397-08002B2CF9AE}" pid="14" name="ob7801515ee445fca00e3b196cd4668c">
    <vt:lpwstr/>
  </property>
  <property fmtid="{D5CDD505-2E9C-101B-9397-08002B2CF9AE}" pid="15" name="lbe9255f8fe74c10b0d62b35775db16c">
    <vt:lpwstr>Crediti Commerciali|5b0ba8a7-e876-4f4a-a4e4-ff496223e6c4</vt:lpwstr>
  </property>
  <property fmtid="{D5CDD505-2E9C-101B-9397-08002B2CF9AE}" pid="16" name="oa4e03e7e6924025aefca0c2cf371979">
    <vt:lpwstr>Comunicazione|1644a99d-f17b-436b-8834-31b427f9c8b2</vt:lpwstr>
  </property>
  <property fmtid="{D5CDD505-2E9C-101B-9397-08002B2CF9AE}" pid="17" name="bf69c2c3d20d4f4a83f1371de304acd2">
    <vt:lpwstr>Tutti|e46db668-e75d-4db5-aead-3fb1cbd7cf35</vt:lpwstr>
  </property>
  <property fmtid="{D5CDD505-2E9C-101B-9397-08002B2CF9AE}" pid="18" name="if45faf3a8214d28b8337b08deeb0e4d">
    <vt:lpwstr>Corporate Identity|30b9de3c-f07a-4e3d-86cb-a10130a25bb5</vt:lpwstr>
  </property>
  <property fmtid="{D5CDD505-2E9C-101B-9397-08002B2CF9AE}" pid="19" name="NormativaMainWordMajorVersion">
    <vt:r8>1</vt:r8>
  </property>
  <property fmtid="{D5CDD505-2E9C-101B-9397-08002B2CF9AE}" pid="20" name="NormativaMainWordDocumentUrl">
    <vt:lpwstr>, </vt:lpwstr>
  </property>
  <property fmtid="{D5CDD505-2E9C-101B-9397-08002B2CF9AE}" pid="21" name="NormativaMainWordMinorVersion">
    <vt:r8>0</vt:r8>
  </property>
</Properties>
</file>