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Stylus BT" w:cs="Stylus BT" w:eastAsia="Stylus BT" w:hAnsi="Stylus BT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Stylus BT" w:cs="Stylus BT" w:eastAsia="Stylus BT" w:hAnsi="Stylus BT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CASOS DE USO</w:t>
      </w:r>
    </w:p>
    <w:p w:rsidR="00000000" w:rsidDel="00000000" w:rsidP="00000000" w:rsidRDefault="00000000" w:rsidRPr="00000000" w14:paraId="00000001">
      <w:pPr>
        <w:contextualSpacing w:val="0"/>
        <w:jc w:val="both"/>
        <w:rPr>
          <w:rFonts w:ascii="Stylus BT" w:cs="Stylus BT" w:eastAsia="Stylus BT" w:hAnsi="Stylus BT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2">
            <w:pPr>
              <w:contextualSpacing w:val="0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vertAlign w:val="baseline"/>
                <w:rtl w:val="0"/>
              </w:rPr>
              <w:t xml:space="preserve">RF</w:t>
            </w: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03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Acoplamiento de sistemas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5">
            <w:pPr>
              <w:contextualSpacing w:val="0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vertAlign w:val="baseline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06">
            <w:pPr>
              <w:contextualSpacing w:val="0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RF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000</w:t>
            </w: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Integrar con sistema de recursos humanos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8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09">
            <w:pPr>
              <w:contextualSpacing w:val="0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El sistema deberá comportarse tal como se describe en el siguiente caso de uso cuando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SGSI solicite el uso de alguno de los 7 sistemas principales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0B">
            <w:pPr>
              <w:contextualSpacing w:val="0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vertAlign w:val="baseline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contextualSpacing w:val="0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vertAlign w:val="baseline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E">
            <w:pPr>
              <w:contextualSpacing w:val="0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vertAlign w:val="baseline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1">
            <w:pPr>
              <w:contextualSpacing w:val="0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El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SGSI</w:t>
            </w: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 solicita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acceder a uno de los 7 sistemas principales de la PN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contextualSpacing w:val="0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El sistema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obtiene acceso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contextualSpacing w:val="0"/>
              <w:jc w:val="center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contextualSpacing w:val="0"/>
              <w:rPr>
                <w:rFonts w:ascii="Stylus BT" w:cs="Stylus BT" w:eastAsia="Stylus BT" w:hAnsi="Stylus BT"/>
                <w:vertAlign w:val="baseline"/>
              </w:rPr>
            </w:pPr>
            <w:r w:rsidDel="00000000" w:rsidR="00000000" w:rsidRPr="00000000">
              <w:rPr>
                <w:rFonts w:ascii="Stylus BT" w:cs="Stylus BT" w:eastAsia="Stylus BT" w:hAnsi="Stylus BT"/>
                <w:vertAlign w:val="baseline"/>
                <w:rtl w:val="0"/>
              </w:rPr>
              <w:t xml:space="preserve">El </w:t>
            </w: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sistema proporciona los datos a ser extraídos de alguno de los sistemas de la PN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Fonts w:ascii="Stylus BT" w:cs="Stylus BT" w:eastAsia="Stylus BT" w:hAnsi="Stylus BT"/>
        </w:rPr>
        <w:drawing>
          <wp:inline distB="114300" distT="114300" distL="114300" distR="114300">
            <wp:extent cx="5402580" cy="4178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28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29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Solicitud soporte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2C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RF001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Gestionar licencias para poseer armas de fuego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enviará una solicitud para obtener los soportes en las operaciones, Módulo de entrada de datos</w:t>
              <w:br w:type="textWrapping"/>
              <w:t xml:space="preserve">Generación de varios informes aplicables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31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enviará una solicitud para obtener la entrada de datos de los soportes en las operaciones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obtiene acceso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de soporte genera un informe</w:t>
            </w:r>
          </w:p>
        </w:tc>
      </w:tr>
    </w:tbl>
    <w:p w:rsidR="00000000" w:rsidDel="00000000" w:rsidP="00000000" w:rsidRDefault="00000000" w:rsidRPr="00000000" w14:paraId="0000003E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4B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C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Transacciones mensuales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F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RF002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Ingresar, cargar información de transacciones mensuales.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al solicitante o partes interesadas ingresar y cargar información de transacciones mensuales: ventas / distribución, importación, exportación, para ser confirmado por el OAE.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54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Solicitante solicita ingreso y carga de transacciones mensuales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obtiene acceso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OAE confirman los datos</w:t>
            </w:r>
          </w:p>
        </w:tc>
      </w:tr>
    </w:tbl>
    <w:p w:rsidR="00000000" w:rsidDel="00000000" w:rsidP="00000000" w:rsidRDefault="00000000" w:rsidRPr="00000000" w14:paraId="00000061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6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B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Licencia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E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RF003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Sistema permite emitir licencia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poder emitir una licencia o permiso para su aprobación (Jefe de la Oficina de Armas y Explosivos, Director del Grupo de Seguridad Civil, Jefe de la Policía Nacional o Secretario del Interior y Gobierno Local).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SGSI solicita emisión de licencia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obtiene acceso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de la PN valida la emisión.</w:t>
            </w:r>
          </w:p>
        </w:tc>
      </w:tr>
    </w:tbl>
    <w:p w:rsidR="00000000" w:rsidDel="00000000" w:rsidP="00000000" w:rsidRDefault="00000000" w:rsidRPr="00000000" w14:paraId="00000080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8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Generación de informes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E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RF08 Generación de informes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generará informes de acuerdo con los informes actuales generados por GSC (Grupo de Seguridad Civil), OAE (Oficina de Armas y Explosivos), PPAFR (Permiso para Portar Armas de Fuego fuera de la Residencia) y OSASI –SOSIA Oficina de Supervisión de Agencias de Seguridad e Investigación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93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SGSI ingresa todos los informes actuales del GSC, OAE, PPAFR y OSASI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genera un nuevo informe</w:t>
            </w:r>
          </w:p>
        </w:tc>
      </w:tr>
    </w:tbl>
    <w:p w:rsidR="00000000" w:rsidDel="00000000" w:rsidP="00000000" w:rsidRDefault="00000000" w:rsidRPr="00000000" w14:paraId="0000009D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A7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8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Aplicaciones en línea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B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RF09 - RF010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Aplicaciones en línea y Walk 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 el sistema permite gestionar las aplicaciones en línea y captura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B0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Las aplicaciones en línea y la aplicación walk-in entrega los datos al sistema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captura los datos a través de kiosko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gestiona las aplicaciones</w:t>
            </w:r>
          </w:p>
        </w:tc>
      </w:tr>
    </w:tbl>
    <w:p w:rsidR="00000000" w:rsidDel="00000000" w:rsidP="00000000" w:rsidRDefault="00000000" w:rsidRPr="00000000" w14:paraId="000000BD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7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CB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C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Solicitantes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E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F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RF011 - RF012 - RF013 - RF014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Aplicaciones en línea y Walk 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captura de registros e imágen al solicitante, generar un número único y un formulario para cada uno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D4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solicitante envía el registro y la imágen al sistema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captura los datos y genera un número único a cada uno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genera un formulario de solicitud para los solicitantes</w:t>
            </w:r>
          </w:p>
        </w:tc>
      </w:tr>
    </w:tbl>
    <w:p w:rsidR="00000000" w:rsidDel="00000000" w:rsidP="00000000" w:rsidRDefault="00000000" w:rsidRPr="00000000" w14:paraId="000000E1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2580" cy="4178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EC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D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Armas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F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0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RF016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Permitir gestionar licencias de armas de fuego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Gestionar licencias para poseer armas de fuego</w:t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0F5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SGSI solicita validar un tipo de solicitud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La OAE valida la información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sistema de record policial aprueba la solicitud</w:t>
            </w:r>
          </w:p>
        </w:tc>
      </w:tr>
    </w:tbl>
    <w:p w:rsidR="00000000" w:rsidDel="00000000" w:rsidP="00000000" w:rsidRDefault="00000000" w:rsidRPr="00000000" w14:paraId="00000102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Fonts w:ascii="Stylus BT" w:cs="Stylus BT" w:eastAsia="Stylus BT" w:hAnsi="Stylus BT"/>
        </w:rPr>
        <w:drawing>
          <wp:inline distB="114300" distT="114300" distL="114300" distR="114300">
            <wp:extent cx="5402580" cy="4191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jc w:val="both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11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RF010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2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Armas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4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Requisitos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5">
            <w:pPr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RF027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Gestionar de entrada de datos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7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Descripción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actualizar la entrada de datos en caso de que haya cambios o modificaciones en las licencias entregadas a concesionarios, fabricantes o armeros, su validez cuando ya se haya renovado, cambio de representante de la compañía, incremento, disminución, omisión o adición de elementos indicados en la licencia, cambio de domicilio comercial y otros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top"/>
          </w:tcPr>
          <w:p w:rsidR="00000000" w:rsidDel="00000000" w:rsidP="00000000" w:rsidRDefault="00000000" w:rsidRPr="00000000" w14:paraId="0000011A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1"/>
              <w:contextualSpacing w:val="0"/>
              <w:rPr>
                <w:rFonts w:ascii="Stylus BT" w:cs="Stylus BT" w:eastAsia="Stylus BT" w:hAnsi="Stylus BT"/>
                <w:b w:val="1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Normal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Concesionarios, Fabricantes y Armeros describen sus cambios 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Se envían los datos modificados al sistema SGSI</w:t>
            </w:r>
          </w:p>
        </w:tc>
      </w:tr>
      <w:tr>
        <w:tc>
          <w:tcPr>
            <w:vMerge w:val="continue"/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contextualSpacing w:val="0"/>
              <w:jc w:val="center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contextualSpacing w:val="0"/>
              <w:rPr>
                <w:rFonts w:ascii="Stylus BT" w:cs="Stylus BT" w:eastAsia="Stylus BT" w:hAnsi="Stylus BT"/>
              </w:rPr>
            </w:pPr>
            <w:r w:rsidDel="00000000" w:rsidR="00000000" w:rsidRPr="00000000">
              <w:rPr>
                <w:rFonts w:ascii="Stylus BT" w:cs="Stylus BT" w:eastAsia="Stylus BT" w:hAnsi="Stylus BT"/>
                <w:rtl w:val="0"/>
              </w:rPr>
              <w:t xml:space="preserve">El SGSI actualiza los datos</w:t>
            </w:r>
          </w:p>
        </w:tc>
      </w:tr>
    </w:tbl>
    <w:p w:rsidR="00000000" w:rsidDel="00000000" w:rsidP="00000000" w:rsidRDefault="00000000" w:rsidRPr="00000000" w14:paraId="00000127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rFonts w:ascii="Stylus BT" w:cs="Stylus BT" w:eastAsia="Stylus BT" w:hAnsi="Stylus B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98741" cy="433482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741" cy="433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footerReference r:id="rId19" w:type="even"/>
      <w:pgSz w:h="16838" w:w="11906"/>
      <w:pgMar w:bottom="1701" w:top="1701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Times New Roman"/>
  <w:font w:name="Stylus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36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tabs>
        <w:tab w:val="left" w:pos="3260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tabs>
        <w:tab w:val="left" w:pos="3260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tabs>
        <w:tab w:val="left" w:pos="3260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1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8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1.png"/><Relationship Id="rId18" Type="http://schemas.openxmlformats.org/officeDocument/2006/relationships/footer" Target="footer3.xml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