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arvis-auron-canonical-master-plan"/>
    <w:p>
      <w:pPr>
        <w:pStyle w:val="Heading1"/>
      </w:pPr>
      <w:r>
        <w:t xml:space="preserve">JARVIS / AURON — Canonical Master Plan</w:t>
      </w:r>
    </w:p>
    <w:p>
      <w:pPr>
        <w:pStyle w:val="FirstParagraph"/>
      </w:pPr>
      <w:r>
        <w:t xml:space="preserve">Status: canonical project roadmap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ScalpingEdward/JARVIS_os</w:t>
      </w:r>
    </w:p>
    <w:bookmarkStart w:id="20" w:name="mission"/>
    <w:p>
      <w:pPr>
        <w:pStyle w:val="Heading2"/>
      </w:pPr>
      <w:r>
        <w:t xml:space="preserve">1. Mission</w:t>
      </w:r>
    </w:p>
    <w:p>
      <w:pPr>
        <w:pStyle w:val="FirstParagraph"/>
      </w:pPr>
      <w:r>
        <w:t xml:space="preserve">JARVIS is the master operating system. AURON is its controlled intelligence/orchestration layer. Vertical capabilities operate through one governed core, one Command Centre, shared identity/audit state, and explicit safety boundaries. Build sequence must be preserved.</w:t>
      </w:r>
    </w:p>
    <w:bookmarkEnd w:id="20"/>
    <w:bookmarkStart w:id="21" w:name="Xc8db8ebaefc7caf03815e2dbc3638fb3eaf7e82"/>
    <w:p>
      <w:pPr>
        <w:pStyle w:val="Heading2"/>
      </w:pPr>
      <w:r>
        <w:t xml:space="preserve">2. Source-of-truth rule for every new chat/build session</w:t>
      </w:r>
    </w:p>
    <w:p>
      <w:pPr>
        <w:numPr>
          <w:ilvl w:val="0"/>
          <w:numId w:val="1001"/>
        </w:numPr>
        <w:pStyle w:val="Compact"/>
      </w:pPr>
      <w:r>
        <w:t xml:space="preserve">Read this file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Verify the last claimed PR is actually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Inspect current implementation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Continue from the checkpoint and dependency graph.</w:t>
      </w:r>
    </w:p>
    <w:p>
      <w:pPr>
        <w:numPr>
          <w:ilvl w:val="0"/>
          <w:numId w:val="1001"/>
        </w:numPr>
        <w:pStyle w:val="Compact"/>
      </w:pPr>
      <w:r>
        <w:t xml:space="preserve">Never restart merged layers or invent merge state.</w:t>
      </w:r>
    </w:p>
    <w:p>
      <w:pPr>
        <w:numPr>
          <w:ilvl w:val="0"/>
          <w:numId w:val="1001"/>
        </w:numPr>
        <w:pStyle w:val="Compact"/>
      </w:pPr>
      <w:r>
        <w:t xml:space="preserve">Reconcile implementation and roadmap explicitly if they disagree.</w:t>
      </w:r>
    </w:p>
    <w:bookmarkEnd w:id="21"/>
    <w:bookmarkStart w:id="22" w:name="architecture-invariants"/>
    <w:p>
      <w:pPr>
        <w:pStyle w:val="Heading2"/>
      </w:pPr>
      <w:r>
        <w:t xml:space="preserve">3. Architecture invariants</w:t>
      </w:r>
    </w:p>
    <w:p>
      <w:pPr>
        <w:numPr>
          <w:ilvl w:val="0"/>
          <w:numId w:val="1002"/>
        </w:numPr>
        <w:pStyle w:val="Compact"/>
      </w:pPr>
      <w:r>
        <w:t xml:space="preserve">JARVIS = master OS; AURON = orchestration/intelligence/governance.</w:t>
      </w:r>
    </w:p>
    <w:p>
      <w:pPr>
        <w:numPr>
          <w:ilvl w:val="0"/>
          <w:numId w:val="1002"/>
        </w:numPr>
        <w:pStyle w:val="Compact"/>
      </w:pPr>
      <w:r>
        <w:t xml:space="preserve">Command Centre remains operational UI with persistent command/text interaction.</w:t>
      </w:r>
    </w:p>
    <w:p>
      <w:pPr>
        <w:numPr>
          <w:ilvl w:val="0"/>
          <w:numId w:val="1002"/>
        </w:numPr>
        <w:pStyle w:val="Compact"/>
      </w:pPr>
      <w:r>
        <w:t xml:space="preserve">Consequential external actions require explicit execution boundaries, observable results, audit and failure state.</w:t>
      </w:r>
    </w:p>
    <w:p>
      <w:pPr>
        <w:numPr>
          <w:ilvl w:val="0"/>
          <w:numId w:val="1002"/>
        </w:numPr>
        <w:pStyle w:val="Compact"/>
      </w:pPr>
      <w:r>
        <w:t xml:space="preserve">Simulation remains independent of external execution.</w:t>
      </w:r>
    </w:p>
    <w:p>
      <w:pPr>
        <w:numPr>
          <w:ilvl w:val="0"/>
          <w:numId w:val="1002"/>
        </w:numPr>
        <w:pStyle w:val="Compact"/>
      </w:pPr>
      <w:r>
        <w:t xml:space="preserve">Provider adapters cannot bypass central policy/risk/approval controls.</w:t>
      </w:r>
    </w:p>
    <w:p>
      <w:pPr>
        <w:numPr>
          <w:ilvl w:val="0"/>
          <w:numId w:val="1002"/>
        </w:numPr>
        <w:pStyle w:val="Compact"/>
      </w:pPr>
      <w:r>
        <w:t xml:space="preserve">Idempotency, reconciliation, health, provenance/version state and fail-closed behavior are core infrastructure.</w:t>
      </w:r>
    </w:p>
    <w:p>
      <w:pPr>
        <w:numPr>
          <w:ilvl w:val="0"/>
          <w:numId w:val="1002"/>
        </w:numPr>
        <w:pStyle w:val="Compact"/>
      </w:pPr>
      <w:r>
        <w:t xml:space="preserve">Secrets never belong in source control.</w:t>
      </w:r>
    </w:p>
    <w:p>
      <w:pPr>
        <w:numPr>
          <w:ilvl w:val="0"/>
          <w:numId w:val="1002"/>
        </w:numPr>
        <w:pStyle w:val="Compact"/>
      </w:pPr>
      <w:r>
        <w:t xml:space="preserve">External execution is deliberate, never default.</w:t>
      </w:r>
    </w:p>
    <w:bookmarkEnd w:id="22"/>
    <w:bookmarkStart w:id="23" w:name="completed-foundation-lineage"/>
    <w:p>
      <w:pPr>
        <w:pStyle w:val="Heading2"/>
      </w:pPr>
      <w:r>
        <w:t xml:space="preserve">4. Completed foundation lineage</w:t>
      </w:r>
    </w:p>
    <w:p>
      <w:pPr>
        <w:pStyle w:val="FirstParagraph"/>
      </w:pPr>
      <w:r>
        <w:t xml:space="preserve">Foundation successor governance closed at v21.523. Phase A core cutover is complete through A6.</w:t>
      </w:r>
    </w:p>
    <w:bookmarkEnd w:id="23"/>
    <w:bookmarkStart w:id="26" w:name="mandatory-build-sequence"/>
    <w:p>
      <w:pPr>
        <w:pStyle w:val="Heading2"/>
      </w:pPr>
      <w:r>
        <w:t xml:space="preserve">5. Mandatory build sequence</w:t>
      </w:r>
    </w:p>
    <w:bookmarkStart w:id="24" w:name="phase-b-trading-reconciled"/>
    <w:p>
      <w:pPr>
        <w:pStyle w:val="Heading3"/>
      </w:pPr>
      <w:r>
        <w:t xml:space="preserve">Phase B — Trading (reconciled)</w:t>
      </w:r>
    </w:p>
    <w:p>
      <w:pPr>
        <w:pStyle w:val="FirstParagraph"/>
      </w:pPr>
      <w:r>
        <w:t xml:space="preserve">The real, wired path is</w:t>
      </w:r>
      <w:r>
        <w:t xml:space="preserve"> </w:t>
      </w:r>
      <w:r>
        <w:rPr>
          <w:rStyle w:val="VerbatimChar"/>
        </w:rPr>
        <w:t xml:space="preserve">backend/app/trading/api.py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/v1/trading/status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/v1/trading/evaluate</w:t>
      </w:r>
      <w:r>
        <w:t xml:space="preserve">, setup listing) registered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. This is genuinely usable today.</w:t>
      </w:r>
    </w:p>
    <w:p>
      <w:pPr>
        <w:pStyle w:val="BodyText"/>
      </w:pPr>
      <w:r>
        <w:t xml:space="preserve">Fourteen</w:t>
      </w:r>
      <w:r>
        <w:t xml:space="preserve"> </w:t>
      </w:r>
      <w:r>
        <w:rPr>
          <w:rStyle w:val="VerbatimChar"/>
        </w:rPr>
        <w:t xml:space="preserve">auron_*_v21_53x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v21_604-607</w:t>
      </w:r>
      <w:r>
        <w:t xml:space="preserve"> </w:t>
      </w:r>
      <w:r>
        <w:t xml:space="preserve">modules in</w:t>
      </w:r>
      <w:r>
        <w:t xml:space="preserve"> </w:t>
      </w:r>
      <w:r>
        <w:rPr>
          <w:rStyle w:val="VerbatimChar"/>
        </w:rPr>
        <w:t xml:space="preserve">backend/app/trading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backend/app/core</w:t>
      </w:r>
      <w:r>
        <w:t xml:space="preserve"> </w:t>
      </w:r>
      <w:r>
        <w:t xml:space="preserve">(registry, account state, signal intake, risk engine, multi-account allocation, guards, MT5 adapter, reconciliation canary, controlled live enablement, command centre, shadow-canary selection/adapter/certification/health) plus their</w:t>
      </w:r>
      <w:r>
        <w:t xml:space="preserve"> </w:t>
      </w:r>
      <w:r>
        <w:rPr>
          <w:rStyle w:val="VerbatimChar"/>
        </w:rPr>
        <w:t xml:space="preserve">api/routes</w:t>
      </w:r>
      <w:r>
        <w:t xml:space="preserve"> </w:t>
      </w:r>
      <w:r>
        <w:t xml:space="preserve">command-centre file were audited the same way as the Research H21-H40 chain: never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, never called by</w:t>
      </w:r>
      <w:r>
        <w:t xml:space="preserve"> </w:t>
      </w:r>
      <w:r>
        <w:rPr>
          <w:rStyle w:val="VerbatimChar"/>
        </w:rPr>
        <w:t xml:space="preserve">trading/api.py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trading/service.py</w:t>
      </w:r>
      <w:r>
        <w:t xml:space="preserve">, only importing and testing each other. They have been removed. Full suite green afterward (4615 passed).</w:t>
      </w:r>
    </w:p>
    <w:p>
      <w:pPr>
        <w:pStyle w:val="BodyText"/>
      </w:pPr>
      <w:r>
        <w:rPr>
          <w:bCs/>
          <w:b/>
        </w:rPr>
        <w:t xml:space="preserve">Note preserved during audit: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files form a sequential linked chain (each version imports the previous one,</w:t>
      </w:r>
      <w:r>
        <w:t xml:space="preserve"> </w:t>
      </w:r>
      <w:r>
        <w:rPr>
          <w:rStyle w:val="VerbatimChar"/>
        </w:rPr>
        <w:t xml:space="preserve">v21_539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v21_538</w:t>
      </w:r>
      <w:r>
        <w:t xml:space="preserve"> </w:t>
      </w:r>
      <w:r>
        <w:t xml:space="preserve">-&gt; … -&gt;</w:t>
      </w:r>
      <w:r>
        <w:t xml:space="preserve"> </w:t>
      </w:r>
      <w:r>
        <w:rPr>
          <w:rStyle w:val="VerbatimChar"/>
        </w:rPr>
        <w:t xml:space="preserve">v21_1</w:t>
      </w:r>
      <w:r>
        <w:t xml:space="preserve">) shared across every vertical, not a per-vertical ledger. Deleting a file in the middle of this chain breaks every higher version that has not itself been reconciled/removed yet. Do not delete an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unless every version above it in the chain has already been removed or repointed. This chain itself is a candidate for a future, carefully-sequenced cleanup, not an ad hoc deletion.</w:t>
      </w:r>
    </w:p>
    <w:p>
      <w:pPr>
        <w:pStyle w:val="BodyText"/>
      </w:pPr>
      <w:r>
        <w:t xml:space="preserve">B1-B10 as a phase label is retired in favor of the concrete statement above: one real endpoint set exists and works; the rest was ceremony.</w:t>
      </w:r>
      <w:r>
        <w:t xml:space="preserve"> </w:t>
      </w:r>
      <w:r>
        <w:t xml:space="preserve">### Phase C — Instagram Content Manager</w:t>
      </w:r>
      <w:r>
        <w:t xml:space="preserve"> </w:t>
      </w:r>
      <w:r>
        <w:t xml:space="preserve">Completed through C8; provider writes remain gated.</w:t>
      </w:r>
      <w:r>
        <w:t xml:space="preserve"> </w:t>
      </w:r>
      <w:r>
        <w:t xml:space="preserve">### Phase D — Additional verticals</w:t>
      </w:r>
      <w:r>
        <w:t xml:space="preserve"> </w:t>
      </w:r>
      <w:r>
        <w:t xml:space="preserve">Communications D1-D8, Research D9-D16, Automation D17-D24 and Files &amp; Documents D25-D32 completed.</w:t>
      </w:r>
      <w:r>
        <w:t xml:space="preserve"> </w:t>
      </w:r>
      <w:r>
        <w:t xml:space="preserve">### Phase E — Cross-vertical integration certification</w:t>
      </w:r>
      <w:r>
        <w:t xml:space="preserve"> </w:t>
      </w:r>
      <w:r>
        <w:t xml:space="preserve">E1-E4 completed.</w:t>
      </w:r>
      <w:r>
        <w:t xml:space="preserve"> </w:t>
      </w:r>
      <w:r>
        <w:t xml:space="preserve">### Phase F — Controlled provider canary program</w:t>
      </w:r>
      <w:r>
        <w:t xml:space="preserve"> </w:t>
      </w:r>
      <w:r>
        <w:t xml:space="preserve">F1-F4 completed.</w:t>
      </w:r>
      <w:r>
        <w:t xml:space="preserve"> </w:t>
      </w:r>
      <w:r>
        <w:t xml:space="preserve">### Phase G — Provider-specific controlled canary integration</w:t>
      </w:r>
      <w:r>
        <w:t xml:space="preserve"> </w:t>
      </w:r>
      <w:r>
        <w:t xml:space="preserve">Research G1-G4, Instagram G5-G8, Files &amp; Documents G9-G12, Communications G13-G16 and Trading-shadow G17-G20 are complete. G21 completes the evidence-driven expansion decision.</w:t>
      </w:r>
    </w:p>
    <w:bookmarkEnd w:id="24"/>
    <w:bookmarkStart w:id="25" w:name="Xfe3da743801a41a094ff3ef0561052149947ab5"/>
    <w:p>
      <w:pPr>
        <w:pStyle w:val="Heading3"/>
      </w:pPr>
      <w:r>
        <w:t xml:space="preserve">Phase H — Controlled external-provider sandbox integration (reconciled)</w:t>
      </w:r>
    </w:p>
    <w:p>
      <w:pPr>
        <w:pStyle w:val="FirstParagraph"/>
      </w:pPr>
      <w:r>
        <w:t xml:space="preserve">H1-H20 established a real, contract-bound, read-only sandbox adapter (no network transport, no credential resolution) and are retained.</w:t>
      </w:r>
    </w:p>
    <w:p>
      <w:pPr>
        <w:pStyle w:val="BodyText"/>
      </w:pPr>
      <w:r>
        <w:t xml:space="preserve">H21-H40 (transport injection, authorization gates, execution-boundary design, and the H40 request-execution design contract) were audited against the actual repository and found to be fully disconnected: none of the ~50 modules in this range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any other application code, they only imported and tested each other, and the one concrete</w:t>
      </w:r>
      <w:r>
        <w:t xml:space="preserve"> </w:t>
      </w:r>
      <w:r>
        <w:t xml:space="preserve">“</w:t>
      </w:r>
      <w:r>
        <w:t xml:space="preserve">request</w:t>
      </w:r>
      <w:r>
        <w:t xml:space="preserve">”</w:t>
      </w:r>
      <w:r>
        <w:t xml:space="preserve"> </w:t>
      </w:r>
      <w:r>
        <w:t xml:space="preserve">they modeled targeted a non-existent</w:t>
      </w:r>
      <w:r>
        <w:t xml:space="preserve"> </w:t>
      </w:r>
      <w:r>
        <w:rPr>
          <w:rStyle w:val="VerbatimChar"/>
        </w:rPr>
        <w:t xml:space="preserve">sandbox.example.test</w:t>
      </w:r>
      <w:r>
        <w:t xml:space="preserve"> </w:t>
      </w:r>
      <w:r>
        <w:t xml:space="preserve">domain. No module in this range ever performed, or could perform, a network call. This range (32 research modules + 32 paired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integration-readiness modules + their tests, ~96 files) has been removed rather than carried forward, since it added no real capability and no real safety guarantee beyond what H1-H20 already provide.</w:t>
      </w:r>
    </w:p>
    <w:p>
      <w:pPr>
        <w:pStyle w:val="BodyText"/>
      </w:pPr>
      <w:r>
        <w:rPr>
          <w:bCs/>
          <w:b/>
        </w:rPr>
        <w:t xml:space="preserve">Replacement:</w:t>
      </w:r>
      <w:r>
        <w:t xml:space="preserve"> </w:t>
      </w:r>
      <w:r>
        <w:rPr>
          <w:rStyle w:val="VerbatimChar"/>
        </w:rPr>
        <w:t xml:space="preserve">backend/app/research/real_provider_client.py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backend/app/research/provider_api.py</w:t>
      </w:r>
      <w:r>
        <w:t xml:space="preserve">,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. This is a real, executable client: HTTPS-only, explicit domain allowlist (currently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), bounded timeout, bounded response size, exactly-once per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via an append-only sqlite audit log, no write capability, no credential handling. Covered by</w:t>
      </w:r>
      <w:r>
        <w:t xml:space="preserve"> </w:t>
      </w:r>
      <w:r>
        <w:rPr>
          <w:rStyle w:val="VerbatimChar"/>
        </w:rPr>
        <w:t xml:space="preserve">backend/tests/test_research_real_provider_client.py</w:t>
      </w:r>
      <w:r>
        <w:t xml:space="preserve"> </w:t>
      </w:r>
      <w:r>
        <w:t xml:space="preserve">(allowlist rejection, scheme rejection, size-limit enforcement, timeout handling, exactly-once, and the wired API endpoint), all passing alongside the full existing suite (4694 tests green after this change).</w:t>
      </w:r>
    </w:p>
    <w:p>
      <w:pPr>
        <w:pStyle w:val="BodyText"/>
      </w:pPr>
      <w:r>
        <w:t xml:space="preserve">Phase H is considered functionally complete for a first real Research provider path. Extending the allowlist to additional domains/providers is a deliberate, reviewed code change to</w:t>
      </w:r>
      <w:r>
        <w:t xml:space="preserve"> </w:t>
      </w:r>
      <w:r>
        <w:rPr>
          <w:rStyle w:val="VerbatimChar"/>
        </w:rPr>
        <w:t xml:space="preserve">DEFAULT_ALLOWED_DOMAINS</w:t>
      </w:r>
      <w:r>
        <w:t xml:space="preserve">, never a runtime parameter.</w:t>
      </w:r>
    </w:p>
    <w:p>
      <w:pPr>
        <w:pStyle w:val="BodyText"/>
      </w:pPr>
      <w:r>
        <w:rPr>
          <w:bCs/>
          <w:b/>
        </w:rPr>
        <w:t xml:space="preserve">Lesson carried forward:</w:t>
      </w:r>
      <w:r>
        <w:t xml:space="preserve"> </w:t>
      </w:r>
      <w:r>
        <w:t xml:space="preserve">future phases must add one real, wired, testable capability per PR rather than a new design/certification layer describing a capability that is not yet wired in. If a PR’s diff does not touch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’s router registration or an equivalent real entrypoint, it does not ship user-visible functionality and should say so explicitly rather than advancing the phase counter.</w:t>
      </w:r>
    </w:p>
    <w:p>
      <w:pPr>
        <w:pStyle w:val="BodyText"/>
      </w:pPr>
      <w:r>
        <w:rPr>
          <w:bCs/>
          <w:b/>
        </w:rPr>
        <w:t xml:space="preserve">Reconciliation (2026-08-30) — physical dead-code removal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backend/app/research/auron_research_*</w:t>
      </w:r>
      <w:r>
        <w:rPr>
          <w:bCs/>
          <w:b/>
        </w:rPr>
        <w:t xml:space="preserve">:</w:t>
      </w:r>
      <w:r>
        <w:t xml:space="preserve"> </w:t>
      </w:r>
      <w:r>
        <w:t xml:space="preserve">the roadmap above described the H21-H40 chain as</w:t>
      </w:r>
      <w:r>
        <w:t xml:space="preserve"> </w:t>
      </w:r>
      <w:r>
        <w:t xml:space="preserve">“</w:t>
      </w:r>
      <w:r>
        <w:t xml:space="preserve">removed</w:t>
      </w:r>
      <w:r>
        <w:t xml:space="preserve">”</w:t>
      </w:r>
      <w:r>
        <w:t xml:space="preserve">, but a fresh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found that 19</w:t>
      </w:r>
      <w:r>
        <w:t xml:space="preserve"> </w:t>
      </w:r>
      <w:r>
        <w:rPr>
          <w:rStyle w:val="VerbatimChar"/>
        </w:rPr>
        <w:t xml:space="preserve">auron_research_*_v21_5xx/6xx.py</w:t>
      </w:r>
      <w:r>
        <w:t xml:space="preserve"> </w:t>
      </w:r>
      <w:r>
        <w:t xml:space="preserve">modules were still physically present in</w:t>
      </w:r>
      <w:r>
        <w:t xml:space="preserve"> </w:t>
      </w:r>
      <w:r>
        <w:rPr>
          <w:rStyle w:val="VerbatimChar"/>
        </w:rPr>
        <w:t xml:space="preserve">backend/app/research/</w:t>
      </w:r>
      <w:r>
        <w:t xml:space="preserve"> </w:t>
      </w:r>
      <w:r>
        <w:t xml:space="preserve">and fully unreachable.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wires only</w:t>
      </w:r>
      <w:r>
        <w:t xml:space="preserve"> </w:t>
      </w:r>
      <w:r>
        <w:rPr>
          <w:rStyle w:val="VerbatimChar"/>
        </w:rPr>
        <w:t xml:space="preserve">research/provider_api.py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research/real_provider_client.py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; none of the 19 modules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by any other reachable application module — they imported and tested only each other (a closed, self-referential cluster). All 19 modules and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 were deleted in this PR. The full suite is green afterwards (4515 passed, 0 failed; 100 tests belonging to the removed cluster dropped from the prior 4615). No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 was touched — the sequential readiness chain (93 files) is preserved intact per the note above. Removed research modules:</w:t>
      </w:r>
      <w:r>
        <w:t xml:space="preserve"> </w:t>
      </w:r>
      <w:r>
        <w:rPr>
          <w:rStyle w:val="VerbatimChar"/>
        </w:rPr>
        <w:t xml:space="preserve">adapter_onboarding_v21_556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registry_evidence_v21_557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read_search_fetch_v21_558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evidence_policy_v21_559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report_simulation_v21_560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controlled_watch_v21_561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watch_reconciliation_v21_562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command_centre_v21_563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readonly_canary_adapter_v21_588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canary_e2e_certification_v21_589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provider_health_drift_v21_590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canary_command_centre_v21_591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external_readonly_sandbox_adapter_v21_610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external_sandbox_e2e_reconciliation_v21_611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external_sandbox_health_drift_observability_v21_612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network_transport_authorization_v21_613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readonly_network_transport_boundary_v21_614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readonly_network_boundary_e2e_certification_v21_615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real_provider_activation_readiness_v21_616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New capability (2026-08-30) — real, wired Trading Accounts &amp; Strategy Assignment registry: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. This is the first</w:t>
      </w:r>
      <w:r>
        <w:t xml:space="preserve"> </w:t>
      </w:r>
      <w:r>
        <w:rPr>
          <w:iCs/>
          <w:i/>
        </w:rPr>
        <w:t xml:space="preserve">persistent source of truth</w:t>
      </w:r>
      <w:r>
        <w:t xml:space="preserve"> </w:t>
      </w:r>
      <w:r>
        <w:t xml:space="preserve">for which accounts AURON manages and which strategies run on each — the foundation the vision needs (</w:t>
      </w:r>
      <w:r>
        <w:t xml:space="preserve">“</w:t>
      </w:r>
      <w:r>
        <w:t xml:space="preserve">manage prop-firm accounts, run 1-2 strategies per account, and also trade live accounts</w:t>
      </w:r>
      <w:r>
        <w:t xml:space="preserve">”</w:t>
      </w:r>
      <w:r>
        <w:t xml:space="preserve">). It follows the Research pattern: real sqlite persistence (</w:t>
      </w:r>
      <w:r>
        <w:rPr>
          <w:rStyle w:val="VerbatimChar"/>
        </w:rPr>
        <w:t xml:space="preserve">data/accounts.db</w:t>
      </w:r>
      <w:r>
        <w:t xml:space="preserve">, gitignored), fail-closed validation, and an append-only</w:t>
      </w:r>
      <w:r>
        <w:t xml:space="preserve"> </w:t>
      </w:r>
      <w:r>
        <w:rPr>
          <w:rStyle w:val="VerbatimChar"/>
        </w:rPr>
        <w:t xml:space="preserve">account_audit</w:t>
      </w:r>
      <w:r>
        <w:t xml:space="preserve"> </w:t>
      </w:r>
      <w:r>
        <w:t xml:space="preserve">trail for every mutation. Capabilities: register</w:t>
      </w:r>
      <w:r>
        <w:t xml:space="preserve"> </w:t>
      </w:r>
      <w:r>
        <w:rPr>
          <w:rStyle w:val="VerbatimChar"/>
        </w:rPr>
        <w:t xml:space="preserve">prop</w:t>
      </w:r>
      <w:r>
        <w:t xml:space="preserve">/</w:t>
      </w:r>
      <w:r>
        <w:rPr>
          <w:rStyle w:val="VerbatimChar"/>
        </w:rPr>
        <w:t xml:space="preserve">live</w:t>
      </w:r>
      <w:r>
        <w:t xml:space="preserve">/</w:t>
      </w:r>
      <w:r>
        <w:rPr>
          <w:rStyle w:val="VerbatimChar"/>
        </w:rPr>
        <w:t xml:space="preserve">demo</w:t>
      </w:r>
      <w:r>
        <w:t xml:space="preserve"> </w:t>
      </w:r>
      <w:r>
        <w:t xml:space="preserve">accounts (prop accounts</w:t>
      </w:r>
      <w:r>
        <w:t xml:space="preserve"> </w:t>
      </w:r>
      <w:r>
        <w:rPr>
          <w:iCs/>
          <w:i/>
        </w:rP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PropFirmRules</w:t>
      </w:r>
      <w:r>
        <w:t xml:space="preserve"> </w:t>
      </w:r>
      <w:r>
        <w:t xml:space="preserve">set: max daily loss %, max total drawdown %, profit target %, min trading days, static/trailing drawdown);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 </w:t>
      </w:r>
      <w:r>
        <w:t xml:space="preserve">uniqueness; assign strategies with a per-account cap (default 2, honouring the</w:t>
      </w:r>
      <w:r>
        <w:t xml:space="preserve"> </w:t>
      </w:r>
      <w:r>
        <w:t xml:space="preserve">“</w:t>
      </w:r>
      <w:r>
        <w:t xml:space="preserve">1-2 strategies per account</w:t>
      </w:r>
      <w:r>
        <w:t xml:space="preserve">”</w:t>
      </w:r>
      <w:r>
        <w:t xml:space="preserve"> </w:t>
      </w:r>
      <w:r>
        <w:t xml:space="preserve">rule), no duplicate</w:t>
      </w:r>
      <w:r>
        <w:t xml:space="preserve"> </w:t>
      </w:r>
      <w:r>
        <w:rPr>
          <w:rStyle w:val="VerbatimChar"/>
        </w:rPr>
        <w:t xml:space="preserve">strategy_id</w:t>
      </w:r>
      <w:r>
        <w:t xml:space="preserve">, and total allocation ≤ 100%; push broker state snapshots (</w:t>
      </w:r>
      <w:r>
        <w:rPr>
          <w:rStyle w:val="VerbatimChar"/>
        </w:rPr>
        <w:t xml:space="preserve">balance</w:t>
      </w:r>
      <w:r>
        <w:t xml:space="preserve">/</w:t>
      </w:r>
      <w:r>
        <w:rPr>
          <w:rStyle w:val="VerbatimChar"/>
        </w:rPr>
        <w:t xml:space="preserve">equity</w:t>
      </w:r>
      <w:r>
        <w:t xml:space="preserve">/</w:t>
      </w:r>
      <w:r>
        <w:rPr>
          <w:rStyle w:val="VerbatimChar"/>
        </w:rPr>
        <w:t xml:space="preserve">day_start_balance</w:t>
      </w:r>
      <w:r>
        <w:t xml:space="preserve">) that auto-flag</w:t>
      </w:r>
      <w:r>
        <w:t xml:space="preserve"> </w:t>
      </w:r>
      <w:r>
        <w:rPr>
          <w:rStyle w:val="VerbatimChar"/>
        </w:rPr>
        <w:t xml:space="preserve">breached</w:t>
      </w:r>
      <w:r>
        <w:t xml:space="preserve"> </w:t>
      </w:r>
      <w:r>
        <w:t xml:space="preserve">status on a prop rule violation and count distinct UTC trading days; compute live compliance (daily-loss / drawdown / profit headrooms, profit-target progress, breach reasons); and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/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with breached accounts blocked from re-activation. Endpoints:</w:t>
      </w:r>
      <w:r>
        <w:t xml:space="preserve"> </w:t>
      </w:r>
      <w:r>
        <w:rPr>
          <w:rStyle w:val="VerbatimChar"/>
        </w:rPr>
        <w:t xml:space="preserve">POST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GET|POST /v1/accounts/{id}/strategies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/v1/accounts/{id}/strategies/{strategy_id}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/v1/accounts/{id}/compliance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/v1/accounts/{id}/activate</w:t>
      </w:r>
      <w:r>
        <w:t xml:space="preserve">.</w:t>
      </w:r>
      <w:r>
        <w:t xml:space="preserve"> </w:t>
      </w:r>
      <w:r>
        <w:rPr>
          <w:bCs/>
          <w:b/>
        </w:rPr>
        <w:t xml:space="preserve">No order execution</w:t>
      </w:r>
      <w:r>
        <w:t xml:space="preserve"> </w:t>
      </w:r>
      <w:r>
        <w:t xml:space="preserve">is introduced here — this is deliberately the read/registry foundation; execution reuses the existing gated executor modules in a later PR. Covered by</w:t>
      </w:r>
      <w:r>
        <w:t xml:space="preserve"> </w:t>
      </w:r>
      <w:r>
        <w:rPr>
          <w:rStyle w:val="VerbatimChar"/>
        </w:rPr>
        <w:t xml:space="preserve">backend/tests/test_accounts_registry.py</w:t>
      </w:r>
      <w:r>
        <w:t xml:space="preserve"> </w:t>
      </w:r>
      <w:r>
        <w:t xml:space="preserve">(22 tests: registration rules, uniqueness, strategy caps/allocation, compliance math, daily-loss/drawdown/trailing-drawdown breaches, trading-day counting, suspend/activate, persistence across re-init, and the wired API surface). Full suite green: 4267 passed, 0 failed (4245 + 22 new).</w:t>
      </w:r>
    </w:p>
    <w:bookmarkEnd w:id="25"/>
    <w:bookmarkEnd w:id="26"/>
    <w:bookmarkStart w:id="27" w:name="X2cc68d3398c76c14fe74e8ecbb77d6979dffbec"/>
    <w:p>
      <w:pPr>
        <w:pStyle w:val="Heading2"/>
      </w:pPr>
      <w:r>
        <w:t xml:space="preserve">6. Cross-vertical Command Centre requirements</w:t>
      </w:r>
    </w:p>
    <w:p>
      <w:pPr>
        <w:pStyle w:val="FirstParagraph"/>
      </w:pPr>
      <w:r>
        <w:t xml:space="preserve">Persistent command/text interaction, capability health, simulation/execution visibility, approvals, execution timeline/failures, dedicated vertical workspaces, kill switches and audit/evidence access remain mandatory.</w:t>
      </w:r>
    </w:p>
    <w:bookmarkEnd w:id="27"/>
    <w:bookmarkStart w:id="28" w:name="definition-of-usable"/>
    <w:p>
      <w:pPr>
        <w:pStyle w:val="Heading2"/>
      </w:pPr>
      <w:r>
        <w:t xml:space="preserve">7. Definition of usable</w:t>
      </w:r>
    </w:p>
    <w:p>
      <w:pPr>
        <w:pStyle w:val="FirstParagraph"/>
      </w:pPr>
      <w:r>
        <w:t xml:space="preserve">A vertical requires observable provider health, persistent state, policy before outbound action, idempotency/reconciliation, visible results, disable controls, failure/replay tests and deliberate external enablement.</w:t>
      </w:r>
    </w:p>
    <w:bookmarkEnd w:id="28"/>
    <w:bookmarkStart w:id="29" w:name="pr-discipline"/>
    <w:p>
      <w:pPr>
        <w:pStyle w:val="Heading2"/>
      </w:pPr>
      <w:r>
        <w:t xml:space="preserve">8. PR discipline</w:t>
      </w:r>
    </w:p>
    <w:p>
      <w:pPr>
        <w:pStyle w:val="FirstParagraph"/>
      </w:pPr>
      <w:r>
        <w:t xml:space="preserve">One coherent layer per PR, with tests, dependencies and next layer documented. Verify merge before advancing.</w:t>
      </w:r>
    </w:p>
    <w:bookmarkEnd w:id="29"/>
    <w:bookmarkStart w:id="30" w:name="current-checkpoint"/>
    <w:p>
      <w:pPr>
        <w:pStyle w:val="Heading2"/>
      </w:pPr>
      <w:r>
        <w:t xml:space="preserve">9. Current checkpoint</w:t>
      </w:r>
    </w:p>
    <w:p>
      <w:pPr>
        <w:numPr>
          <w:ilvl w:val="0"/>
          <w:numId w:val="1003"/>
        </w:numPr>
        <w:pStyle w:val="Compact"/>
      </w:pPr>
      <w:r>
        <w:t xml:space="preserve">Foundation through v21.523 and Phase A A1-A6: complete.</w:t>
      </w:r>
    </w:p>
    <w:p>
      <w:pPr>
        <w:numPr>
          <w:ilvl w:val="0"/>
          <w:numId w:val="1003"/>
        </w:numPr>
        <w:pStyle w:val="Compact"/>
      </w:pPr>
      <w:r>
        <w:t xml:space="preserve">Trading B1-B10, Instagram C1-C8 and Phase D vertical architecture: complete with consequential provider execution gated.</w:t>
      </w:r>
    </w:p>
    <w:p>
      <w:pPr>
        <w:numPr>
          <w:ilvl w:val="0"/>
          <w:numId w:val="1003"/>
        </w:numPr>
        <w:pStyle w:val="Compact"/>
      </w:pPr>
      <w:r>
        <w:t xml:space="preserve">Phase E E1-E4, Phase F F1-F4 and Phase G through G21: complete.</w:t>
      </w:r>
    </w:p>
    <w:p>
      <w:pPr>
        <w:numPr>
          <w:ilvl w:val="0"/>
          <w:numId w:val="1003"/>
        </w:numPr>
        <w:pStyle w:val="Compact"/>
      </w:pPr>
      <w:r>
        <w:t xml:space="preserve">H1-H20 complete: Research provider path is contract-bound, reconciled, certified through one bounded transport-disabled session and zero-concrete-transport injection contract.</w:t>
      </w:r>
    </w:p>
    <w:p>
      <w:pPr>
        <w:numPr>
          <w:ilvl w:val="0"/>
          <w:numId w:val="1003"/>
        </w:numPr>
        <w:pStyle w:val="Compact"/>
      </w:pPr>
      <w:r>
        <w:t xml:space="preserve">H21-H31 complete: governed transport activation, authorization, binding, injection design/certification and exactly one inert read-only transport object are established and certified with network execution disabled.</w:t>
      </w:r>
    </w:p>
    <w:p>
      <w:pPr>
        <w:numPr>
          <w:ilvl w:val="0"/>
          <w:numId w:val="1003"/>
        </w:numPr>
        <w:pStyle w:val="Compact"/>
      </w:pPr>
      <w:r>
        <w:t xml:space="preserve">H32-H35 complete: one short-lived operator-bound revocable one-shot network-execution authorization is designed, certified, issued and certified again against exact transport/object/identity scope while provider traffic remains disabled.</w:t>
      </w:r>
    </w:p>
    <w:p>
      <w:pPr>
        <w:numPr>
          <w:ilvl w:val="0"/>
          <w:numId w:val="1003"/>
        </w:numPr>
        <w:pStyle w:val="Compact"/>
      </w:pPr>
      <w:r>
        <w:t xml:space="preserve">H36-H37 complete: the fail-closed exactly-once consumption boundary is designed and certified with expiry/revocation/read-only scope and zero network state.</w:t>
      </w:r>
    </w:p>
    <w:p>
      <w:pPr>
        <w:numPr>
          <w:ilvl w:val="0"/>
          <w:numId w:val="1003"/>
        </w:numPr>
        <w:pStyle w:val="Compact"/>
      </w:pPr>
      <w:r>
        <w:t xml:space="preserve">H21-H40 (32 research modules + 32 paired core modules + tests) removed: confirmed disconnected from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and from each other’s non-test callers, tested only against a non-existent sandbox domain, and never capable of a real network call. Removal verified against the full test suite (4694 passed, 0 failed).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Research provider path is now real and wired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 </w:t>
      </w:r>
      <w:r>
        <w:t xml:space="preserve">performs an actual bounded HTTPS GET against an explicit domain allowlist, with timeout, response-size limit, exactly-once request handling and an append-only audit log. This supersedes the H21-H40 design chain.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Dead-code reconciliation (2026-08-30):</w:t>
      </w:r>
      <w:r>
        <w:t xml:space="preserve"> </w:t>
      </w:r>
      <w:r>
        <w:t xml:space="preserve">19 unreachable</w:t>
      </w:r>
      <w:r>
        <w:t xml:space="preserve"> </w:t>
      </w:r>
      <w:r>
        <w:rPr>
          <w:rStyle w:val="VerbatimChar"/>
        </w:rPr>
        <w:t xml:space="preserve">backend/app/research/auron_research_*</w:t>
      </w:r>
      <w:r>
        <w:t xml:space="preserve"> </w:t>
      </w:r>
      <w:r>
        <w:t xml:space="preserve">modules that the roadmap had already described as removed but were still on disk, plus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files, have now been physically deleted (branch</w:t>
      </w:r>
      <w:r>
        <w:t xml:space="preserve"> </w:t>
      </w:r>
      <w:r>
        <w:rPr>
          <w:rStyle w:val="VerbatimChar"/>
        </w:rPr>
        <w:t xml:space="preserve">chore/remove-dead-auron-research-modules</w:t>
      </w:r>
      <w:r>
        <w:t xml:space="preserve">). Verified unreachable via an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;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touched. Full suite green: 4515 passed, 0 failed (down from 4615 as the 100 tests of the removed cluster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Multi-vertical dead-code reconciliation (2026-08-30):</w:t>
      </w:r>
      <w:r>
        <w:t xml:space="preserve"> </w:t>
      </w:r>
      <w:r>
        <w:t xml:space="preserve">A comprehensive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identified 47 additional unreachable</w:t>
      </w:r>
      <w:r>
        <w:t xml:space="preserve"> </w:t>
      </w:r>
      <w:r>
        <w:rPr>
          <w:rStyle w:val="VerbatimChar"/>
        </w:rPr>
        <w:t xml:space="preserve">auron_*</w:t>
      </w:r>
      <w:r>
        <w:t xml:space="preserve"> </w:t>
      </w:r>
      <w:r>
        <w:t xml:space="preserve">modules across multiple verticals (8 automation, 11 communications, 3 content/instagram, 14 core, 11 documents), all confirmed disconnected from the live application. These modules, plus their 47 paired test files (94 files total), have been physically deleted (branch</w:t>
      </w:r>
      <w:r>
        <w:t xml:space="preserve"> </w:t>
      </w:r>
      <w:r>
        <w:rPr>
          <w:rStyle w:val="VerbatimChar"/>
        </w:rPr>
        <w:t xml:space="preserve">chore/remove-dead-auron-modules-multi-vertical</w:t>
      </w:r>
      <w:r>
        <w:t xml:space="preserve">).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 — the sequential readiness chain remains intact. Full suite green: 4245 passed, 0 failed (down from 4515 as 270 tests of the removed clusters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Trading Accounts &amp; Strategy Assignment registry is now real and wired (2026-08-30):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feat/trading-accounts-registry</w:t>
      </w:r>
      <w:r>
        <w:t xml:space="preserve">) — the first persistent registry of the prop/live/demo accounts AURON manages and the (1-2) strategies assigned to each, with prop-firm rule enforcement, sqlite persistence, an append-only audit trail, and live compliance/breach computation. Read/registry foundation only; no order execution. Full suite green: 4267 passed, 0 failed (4245 + 22 new). This is the concrete first step toward the account-management vision and precedes any execution wiring.</w:t>
      </w:r>
    </w:p>
    <w:p>
      <w:pPr>
        <w:numPr>
          <w:ilvl w:val="0"/>
          <w:numId w:val="1003"/>
        </w:numPr>
        <w:pStyle w:val="Compact"/>
      </w:pPr>
      <w:r>
        <w:t xml:space="preserve">Next: build on the accounts registry — a state/compliance reconciliation loop that reads real broker snapshots (via the existing read-only MT5 bridge) into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, then, in a later gated PR, connect strategy assignments to the existing approval-gated executor modules. Continue extending the Research allowlist deliberately as real needs arise; consider real wiring for Instagram, Communications, Automation, and Documents verticals following the Research pattern (one real endpoint, explicit safety boundaries, audit log).</w:t>
      </w:r>
    </w:p>
    <w:p>
      <w:pPr>
        <w:pStyle w:val="FirstParagraph"/>
      </w:pPr>
      <w:r>
        <w:t xml:space="preserve">This checkpoint must be updated at each phase boundary or major activation milestone.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2026-08-30T12:34:04Z</dcterms:created>
  <dcterms:modified xsi:type="dcterms:W3CDTF">2026-08-30T12:34:04Z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