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jarvis-auron-canonical-master-plan"/>
    <w:p>
      <w:pPr>
        <w:pStyle w:val="Heading1"/>
      </w:pPr>
      <w:r>
        <w:t xml:space="preserve">JARVIS / AURON — Canonical Master Plan</w:t>
      </w:r>
    </w:p>
    <w:p>
      <w:pPr>
        <w:pStyle w:val="FirstParagraph"/>
      </w:pPr>
      <w:r>
        <w:t xml:space="preserve">Status: canonical project roadmap</w:t>
      </w:r>
      <w:r>
        <w:t xml:space="preserve"> </w:t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ScalpingEdward/JARVIS_os</w:t>
      </w:r>
    </w:p>
    <w:bookmarkStart w:id="20" w:name="mission"/>
    <w:p>
      <w:pPr>
        <w:pStyle w:val="Heading2"/>
      </w:pPr>
      <w:r>
        <w:t xml:space="preserve">1. Mission</w:t>
      </w:r>
    </w:p>
    <w:p>
      <w:pPr>
        <w:pStyle w:val="FirstParagraph"/>
      </w:pPr>
      <w:r>
        <w:t xml:space="preserve">JARVIS is the master operating system. AURON is its controlled intelligence/orchestration layer. Vertical capabilities operate through one governed core, one Command Centre, shared identity/audit state, and explicit safety boundaries. Build sequence must be preserved.</w:t>
      </w:r>
    </w:p>
    <w:bookmarkEnd w:id="20"/>
    <w:bookmarkStart w:id="21" w:name="Xc8db8ebaefc7caf03815e2dbc3638fb3eaf7e82"/>
    <w:p>
      <w:pPr>
        <w:pStyle w:val="Heading2"/>
      </w:pPr>
      <w:r>
        <w:t xml:space="preserve">2. Source-of-truth rule for every new chat/build session</w:t>
      </w:r>
    </w:p>
    <w:p>
      <w:pPr>
        <w:numPr>
          <w:ilvl w:val="0"/>
          <w:numId w:val="1001"/>
        </w:numPr>
        <w:pStyle w:val="Compact"/>
      </w:pPr>
      <w:r>
        <w:t xml:space="preserve">Read this file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Verify the last claimed PR is actually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Inspect current implementation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Continue from the checkpoint and dependency graph.</w:t>
      </w:r>
    </w:p>
    <w:p>
      <w:pPr>
        <w:numPr>
          <w:ilvl w:val="0"/>
          <w:numId w:val="1001"/>
        </w:numPr>
        <w:pStyle w:val="Compact"/>
      </w:pPr>
      <w:r>
        <w:t xml:space="preserve">Never restart merged layers or invent merge state.</w:t>
      </w:r>
    </w:p>
    <w:p>
      <w:pPr>
        <w:numPr>
          <w:ilvl w:val="0"/>
          <w:numId w:val="1001"/>
        </w:numPr>
        <w:pStyle w:val="Compact"/>
      </w:pPr>
      <w:r>
        <w:t xml:space="preserve">Reconcile implementation and roadmap explicitly if they disagree.</w:t>
      </w:r>
    </w:p>
    <w:bookmarkEnd w:id="21"/>
    <w:bookmarkStart w:id="22" w:name="architecture-invariants"/>
    <w:p>
      <w:pPr>
        <w:pStyle w:val="Heading2"/>
      </w:pPr>
      <w:r>
        <w:t xml:space="preserve">3. Architecture invariants</w:t>
      </w:r>
    </w:p>
    <w:p>
      <w:pPr>
        <w:numPr>
          <w:ilvl w:val="0"/>
          <w:numId w:val="1002"/>
        </w:numPr>
        <w:pStyle w:val="Compact"/>
      </w:pPr>
      <w:r>
        <w:t xml:space="preserve">JARVIS = master OS; AURON = orchestration/intelligence/governance.</w:t>
      </w:r>
    </w:p>
    <w:p>
      <w:pPr>
        <w:numPr>
          <w:ilvl w:val="0"/>
          <w:numId w:val="1002"/>
        </w:numPr>
        <w:pStyle w:val="Compact"/>
      </w:pPr>
      <w:r>
        <w:t xml:space="preserve">Command Centre remains operational UI with persistent command/text interaction.</w:t>
      </w:r>
    </w:p>
    <w:p>
      <w:pPr>
        <w:numPr>
          <w:ilvl w:val="0"/>
          <w:numId w:val="1002"/>
        </w:numPr>
        <w:pStyle w:val="Compact"/>
      </w:pPr>
      <w:r>
        <w:t xml:space="preserve">Consequential external actions require explicit execution boundaries, observable results, audit and failure state.</w:t>
      </w:r>
    </w:p>
    <w:p>
      <w:pPr>
        <w:numPr>
          <w:ilvl w:val="0"/>
          <w:numId w:val="1002"/>
        </w:numPr>
        <w:pStyle w:val="Compact"/>
      </w:pPr>
      <w:r>
        <w:t xml:space="preserve">Simulation remains independent of external execution.</w:t>
      </w:r>
    </w:p>
    <w:p>
      <w:pPr>
        <w:numPr>
          <w:ilvl w:val="0"/>
          <w:numId w:val="1002"/>
        </w:numPr>
        <w:pStyle w:val="Compact"/>
      </w:pPr>
      <w:r>
        <w:t xml:space="preserve">Provider adapters cannot bypass central policy/risk/approval controls.</w:t>
      </w:r>
    </w:p>
    <w:p>
      <w:pPr>
        <w:numPr>
          <w:ilvl w:val="0"/>
          <w:numId w:val="1002"/>
        </w:numPr>
        <w:pStyle w:val="Compact"/>
      </w:pPr>
      <w:r>
        <w:t xml:space="preserve">Idempotency, reconciliation, health, provenance/version state and fail-closed behavior are core infrastructure.</w:t>
      </w:r>
    </w:p>
    <w:p>
      <w:pPr>
        <w:numPr>
          <w:ilvl w:val="0"/>
          <w:numId w:val="1002"/>
        </w:numPr>
        <w:pStyle w:val="Compact"/>
      </w:pPr>
      <w:r>
        <w:t xml:space="preserve">Secrets never belong in source control.</w:t>
      </w:r>
    </w:p>
    <w:p>
      <w:pPr>
        <w:numPr>
          <w:ilvl w:val="0"/>
          <w:numId w:val="1002"/>
        </w:numPr>
        <w:pStyle w:val="Compact"/>
      </w:pPr>
      <w:r>
        <w:t xml:space="preserve">External execution is deliberate, never default.</w:t>
      </w:r>
    </w:p>
    <w:bookmarkEnd w:id="22"/>
    <w:bookmarkStart w:id="23" w:name="completed-foundation-lineage"/>
    <w:p>
      <w:pPr>
        <w:pStyle w:val="Heading2"/>
      </w:pPr>
      <w:r>
        <w:t xml:space="preserve">4. Completed foundation lineage</w:t>
      </w:r>
    </w:p>
    <w:p>
      <w:pPr>
        <w:pStyle w:val="FirstParagraph"/>
      </w:pPr>
      <w:r>
        <w:t xml:space="preserve">Foundation successor governance closed at v21.523. Phase A core cutover is complete through A6.</w:t>
      </w:r>
    </w:p>
    <w:bookmarkEnd w:id="23"/>
    <w:bookmarkStart w:id="26" w:name="mandatory-build-sequence"/>
    <w:p>
      <w:pPr>
        <w:pStyle w:val="Heading2"/>
      </w:pPr>
      <w:r>
        <w:t xml:space="preserve">5. Mandatory build sequence</w:t>
      </w:r>
    </w:p>
    <w:bookmarkStart w:id="24" w:name="phase-b-trading-reconciled"/>
    <w:p>
      <w:pPr>
        <w:pStyle w:val="Heading3"/>
      </w:pPr>
      <w:r>
        <w:t xml:space="preserve">Phase B — Trading (reconciled)</w:t>
      </w:r>
    </w:p>
    <w:p>
      <w:pPr>
        <w:pStyle w:val="FirstParagraph"/>
      </w:pPr>
      <w:r>
        <w:t xml:space="preserve">The real, wired path is</w:t>
      </w:r>
      <w:r>
        <w:t xml:space="preserve"> </w:t>
      </w:r>
      <w:r>
        <w:rPr>
          <w:rStyle w:val="VerbatimChar"/>
        </w:rPr>
        <w:t xml:space="preserve">backend/app/trading/api.py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/v1/trading/status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/v1/trading/evaluate</w:t>
      </w:r>
      <w:r>
        <w:t xml:space="preserve">, setup listing) registered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This is genuinely usable today.</w:t>
      </w:r>
    </w:p>
    <w:p>
      <w:pPr>
        <w:pStyle w:val="BodyText"/>
      </w:pPr>
      <w:r>
        <w:t xml:space="preserve">Fourteen</w:t>
      </w:r>
      <w:r>
        <w:t xml:space="preserve"> </w:t>
      </w:r>
      <w:r>
        <w:rPr>
          <w:rStyle w:val="VerbatimChar"/>
        </w:rPr>
        <w:t xml:space="preserve">auron_*_v21_53x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v21_604-607</w:t>
      </w:r>
      <w:r>
        <w:t xml:space="preserve"> </w:t>
      </w:r>
      <w:r>
        <w:t xml:space="preserve">modules in</w:t>
      </w:r>
      <w:r>
        <w:t xml:space="preserve"> </w:t>
      </w:r>
      <w:r>
        <w:rPr>
          <w:rStyle w:val="VerbatimChar"/>
        </w:rPr>
        <w:t xml:space="preserve">backend/app/trading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backend/app/core</w:t>
      </w:r>
      <w:r>
        <w:t xml:space="preserve"> </w:t>
      </w:r>
      <w:r>
        <w:t xml:space="preserve">(registry, account state, signal intake, risk engine, multi-account allocation, guards, MT5 adapter, reconciliation canary, controlled live enablement, command centre, shadow-canary selection/adapter/certification/health) plus their</w:t>
      </w:r>
      <w:r>
        <w:t xml:space="preserve"> </w:t>
      </w:r>
      <w:r>
        <w:rPr>
          <w:rStyle w:val="VerbatimChar"/>
        </w:rPr>
        <w:t xml:space="preserve">api/routes</w:t>
      </w:r>
      <w:r>
        <w:t xml:space="preserve"> </w:t>
      </w:r>
      <w:r>
        <w:t xml:space="preserve">command-centre file were audited the same way as the Research H21-H40 chain: never imported by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never called by</w:t>
      </w:r>
      <w:r>
        <w:t xml:space="preserve"> </w:t>
      </w:r>
      <w:r>
        <w:rPr>
          <w:rStyle w:val="VerbatimChar"/>
        </w:rPr>
        <w:t xml:space="preserve">trading/api.py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trading/service.py</w:t>
      </w:r>
      <w:r>
        <w:t xml:space="preserve">, only importing and testing each other. They have been removed. Full suite green afterward (4615 passed).</w:t>
      </w:r>
    </w:p>
    <w:p>
      <w:pPr>
        <w:pStyle w:val="BodyText"/>
      </w:pPr>
      <w:r>
        <w:rPr>
          <w:bCs/>
          <w:b/>
        </w:rPr>
        <w:t xml:space="preserve">Note preserved during audit:</w:t>
      </w:r>
      <w:r>
        <w:t xml:space="preserve"> </w:t>
      </w:r>
      <w:r>
        <w:rPr>
          <w:rStyle w:val="VerbatimChar"/>
        </w:rPr>
        <w:t xml:space="preserve">backend/app/core/auron_integration_readiness_vNNN.py</w:t>
      </w:r>
      <w:r>
        <w:t xml:space="preserve"> </w:t>
      </w:r>
      <w:r>
        <w:t xml:space="preserve">files form a sequential linked chain (each version imports the previous one,</w:t>
      </w:r>
      <w:r>
        <w:t xml:space="preserve"> </w:t>
      </w:r>
      <w:r>
        <w:rPr>
          <w:rStyle w:val="VerbatimChar"/>
        </w:rPr>
        <w:t xml:space="preserve">v21_539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v21_538</w:t>
      </w:r>
      <w:r>
        <w:t xml:space="preserve"> </w:t>
      </w:r>
      <w:r>
        <w:t xml:space="preserve">-&gt; … -&gt;</w:t>
      </w:r>
      <w:r>
        <w:t xml:space="preserve"> </w:t>
      </w:r>
      <w:r>
        <w:rPr>
          <w:rStyle w:val="VerbatimChar"/>
        </w:rPr>
        <w:t xml:space="preserve">v21_1</w:t>
      </w:r>
      <w:r>
        <w:t xml:space="preserve">) shared across every vertical, not a per-vertical ledger. Deleting a file in the middle of this chain breaks every higher version that has not itself been reconciled/removed yet. Do not delete an</w:t>
      </w:r>
      <w:r>
        <w:t xml:space="preserve"> </w:t>
      </w:r>
      <w:r>
        <w:rPr>
          <w:rStyle w:val="VerbatimChar"/>
        </w:rPr>
        <w:t xml:space="preserve">auron_integration_readiness_vNNN.py</w:t>
      </w:r>
      <w:r>
        <w:t xml:space="preserve"> </w:t>
      </w:r>
      <w:r>
        <w:t xml:space="preserve">file unless every version above it in the chain has already been removed or repointed. This chain itself is a candidate for a future, carefully-sequenced cleanup, not an ad hoc deletion.</w:t>
      </w:r>
    </w:p>
    <w:p>
      <w:pPr>
        <w:pStyle w:val="BodyText"/>
      </w:pPr>
      <w:r>
        <w:t xml:space="preserve">B1-B10 as a phase label is retired in favor of the concrete statement above: one real endpoint set exists and works; the rest was ceremony.</w:t>
      </w:r>
      <w:r>
        <w:t xml:space="preserve"> </w:t>
      </w:r>
      <w:r>
        <w:t xml:space="preserve">### Phase C — Instagram Content Manager</w:t>
      </w:r>
      <w:r>
        <w:t xml:space="preserve"> </w:t>
      </w:r>
      <w:r>
        <w:t xml:space="preserve">Completed through C8; provider writes remain gated.</w:t>
      </w:r>
      <w:r>
        <w:t xml:space="preserve"> </w:t>
      </w:r>
      <w:r>
        <w:t xml:space="preserve">### Phase D — Additional verticals</w:t>
      </w:r>
      <w:r>
        <w:t xml:space="preserve"> </w:t>
      </w:r>
      <w:r>
        <w:t xml:space="preserve">Communications D1-D8, Research D9-D16, Automation D17-D24 and Files &amp; Documents D25-D32 completed.</w:t>
      </w:r>
      <w:r>
        <w:t xml:space="preserve"> </w:t>
      </w:r>
      <w:r>
        <w:t xml:space="preserve">### Phase E — Cross-vertical integration certification</w:t>
      </w:r>
      <w:r>
        <w:t xml:space="preserve"> </w:t>
      </w:r>
      <w:r>
        <w:t xml:space="preserve">E1-E4 completed.</w:t>
      </w:r>
      <w:r>
        <w:t xml:space="preserve"> </w:t>
      </w:r>
      <w:r>
        <w:t xml:space="preserve">### Phase F — Controlled provider canary program</w:t>
      </w:r>
      <w:r>
        <w:t xml:space="preserve"> </w:t>
      </w:r>
      <w:r>
        <w:t xml:space="preserve">F1-F4 completed.</w:t>
      </w:r>
      <w:r>
        <w:t xml:space="preserve"> </w:t>
      </w:r>
      <w:r>
        <w:t xml:space="preserve">### Phase G — Provider-specific controlled canary integration</w:t>
      </w:r>
      <w:r>
        <w:t xml:space="preserve"> </w:t>
      </w:r>
      <w:r>
        <w:t xml:space="preserve">Research G1-G4, Instagram G5-G8, Files &amp; Documents G9-G12, Communications G13-G16 and Trading-shadow G17-G20 are complete. G21 completes the evidence-driven expansion decision.</w:t>
      </w:r>
    </w:p>
    <w:bookmarkEnd w:id="24"/>
    <w:bookmarkStart w:id="25" w:name="Xfe3da743801a41a094ff3ef0561052149947ab5"/>
    <w:p>
      <w:pPr>
        <w:pStyle w:val="Heading3"/>
      </w:pPr>
      <w:r>
        <w:t xml:space="preserve">Phase H — Controlled external-provider sandbox integration (reconciled)</w:t>
      </w:r>
    </w:p>
    <w:p>
      <w:pPr>
        <w:pStyle w:val="FirstParagraph"/>
      </w:pPr>
      <w:r>
        <w:t xml:space="preserve">H1-H20 established a real, contract-bound, read-only sandbox adapter (no network transport, no credential resolution) and are retained.</w:t>
      </w:r>
    </w:p>
    <w:p>
      <w:pPr>
        <w:pStyle w:val="BodyText"/>
      </w:pPr>
      <w:r>
        <w:t xml:space="preserve">H21-H40 (transport injection, authorization gates, execution-boundary design, and the H40 request-execution design contract) were audited against the actual repository and found to be fully disconnected: none of the ~50 modules in this range were imported by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or any other application code, they only imported and tested each other, and the one concrete</w:t>
      </w:r>
      <w:r>
        <w:t xml:space="preserve"> </w:t>
      </w:r>
      <w:r>
        <w:t xml:space="preserve">“</w:t>
      </w:r>
      <w:r>
        <w:t xml:space="preserve">request</w:t>
      </w:r>
      <w:r>
        <w:t xml:space="preserve">”</w:t>
      </w:r>
      <w:r>
        <w:t xml:space="preserve"> </w:t>
      </w:r>
      <w:r>
        <w:t xml:space="preserve">they modeled targeted a non-existent</w:t>
      </w:r>
      <w:r>
        <w:t xml:space="preserve"> </w:t>
      </w:r>
      <w:r>
        <w:rPr>
          <w:rStyle w:val="VerbatimChar"/>
        </w:rPr>
        <w:t xml:space="preserve">sandbox.example.test</w:t>
      </w:r>
      <w:r>
        <w:t xml:space="preserve"> </w:t>
      </w:r>
      <w:r>
        <w:t xml:space="preserve">domain. No module in this range ever performed, or could perform, a network call. This range (32 research modules + 32 paired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integration-readiness modules + their tests, ~96 files) has been removed rather than carried forward, since it added no real capability and no real safety guarantee beyond what H1-H20 already provide.</w:t>
      </w:r>
    </w:p>
    <w:p>
      <w:pPr>
        <w:pStyle w:val="BodyText"/>
      </w:pPr>
      <w:r>
        <w:rPr>
          <w:bCs/>
          <w:b/>
        </w:rPr>
        <w:t xml:space="preserve">Replacement:</w:t>
      </w:r>
      <w:r>
        <w:t xml:space="preserve"> </w:t>
      </w:r>
      <w:r>
        <w:rPr>
          <w:rStyle w:val="VerbatimChar"/>
        </w:rPr>
        <w:t xml:space="preserve">backend/app/research/real_provider_client.py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backend/app/research/provider_api.py</w:t>
      </w:r>
      <w:r>
        <w:t xml:space="preserve">, wired into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POST /v1/research/provider/fetch</w:t>
      </w:r>
      <w:r>
        <w:t xml:space="preserve">. This is a real, executable client: HTTPS-only, explicit domain allowlist (currently</w:t>
      </w:r>
      <w:r>
        <w:t xml:space="preserve"> </w:t>
      </w:r>
      <w:r>
        <w:rPr>
          <w:rStyle w:val="VerbatimChar"/>
        </w:rPr>
        <w:t xml:space="preserve">api.github.com</w:t>
      </w:r>
      <w:r>
        <w:t xml:space="preserve">), bounded timeout, bounded response size, exactly-once per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via an append-only sqlite audit log, no write capability, no credential handling. Covered by</w:t>
      </w:r>
      <w:r>
        <w:t xml:space="preserve"> </w:t>
      </w:r>
      <w:r>
        <w:rPr>
          <w:rStyle w:val="VerbatimChar"/>
        </w:rPr>
        <w:t xml:space="preserve">backend/tests/test_research_real_provider_client.py</w:t>
      </w:r>
      <w:r>
        <w:t xml:space="preserve"> </w:t>
      </w:r>
      <w:r>
        <w:t xml:space="preserve">(allowlist rejection, scheme rejection, size-limit enforcement, timeout handling, exactly-once, and the wired API endpoint), all passing alongside the full existing suite (4694 tests green after this change).</w:t>
      </w:r>
    </w:p>
    <w:p>
      <w:pPr>
        <w:pStyle w:val="BodyText"/>
      </w:pPr>
      <w:r>
        <w:t xml:space="preserve">Phase H is considered functionally complete for a first real Research provider path. Extending the allowlist to additional domains/providers is a deliberate, reviewed code change to</w:t>
      </w:r>
      <w:r>
        <w:t xml:space="preserve"> </w:t>
      </w:r>
      <w:r>
        <w:rPr>
          <w:rStyle w:val="VerbatimChar"/>
        </w:rPr>
        <w:t xml:space="preserve">DEFAULT_ALLOWED_DOMAINS</w:t>
      </w:r>
      <w:r>
        <w:t xml:space="preserve">, never a runtime parameter.</w:t>
      </w:r>
    </w:p>
    <w:p>
      <w:pPr>
        <w:pStyle w:val="BodyText"/>
      </w:pPr>
      <w:r>
        <w:rPr>
          <w:bCs/>
          <w:b/>
        </w:rPr>
        <w:t xml:space="preserve">Lesson carried forward:</w:t>
      </w:r>
      <w:r>
        <w:t xml:space="preserve"> </w:t>
      </w:r>
      <w:r>
        <w:t xml:space="preserve">future phases must add one real, wired, testable capability per PR rather than a new design/certification layer describing a capability that is not yet wired in. If a PR’s diff does not touch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’s router registration or an equivalent real entrypoint, it does not ship user-visible functionality and should say so explicitly rather than advancing the phase counter.</w:t>
      </w:r>
    </w:p>
    <w:p>
      <w:pPr>
        <w:pStyle w:val="BodyText"/>
      </w:pPr>
      <w:r>
        <w:rPr>
          <w:bCs/>
          <w:b/>
        </w:rPr>
        <w:t xml:space="preserve">Reconciliation (2026-08-30) — physical dead-code removal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backend/app/research/auron_research_*</w:t>
      </w:r>
      <w:r>
        <w:rPr>
          <w:bCs/>
          <w:b/>
        </w:rPr>
        <w:t xml:space="preserve">:</w:t>
      </w:r>
      <w:r>
        <w:t xml:space="preserve"> </w:t>
      </w:r>
      <w:r>
        <w:t xml:space="preserve">the roadmap above described the H21-H40 chain as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, but a fresh import-graph audit from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 </w:t>
      </w:r>
      <w:r>
        <w:t xml:space="preserve">found that 19</w:t>
      </w:r>
      <w:r>
        <w:t xml:space="preserve"> </w:t>
      </w:r>
      <w:r>
        <w:rPr>
          <w:rStyle w:val="VerbatimChar"/>
        </w:rPr>
        <w:t xml:space="preserve">auron_research_*_v21_5xx/6xx.py</w:t>
      </w:r>
      <w:r>
        <w:t xml:space="preserve"> </w:t>
      </w:r>
      <w:r>
        <w:t xml:space="preserve">modules were still physically present in</w:t>
      </w:r>
      <w:r>
        <w:t xml:space="preserve"> </w:t>
      </w:r>
      <w:r>
        <w:rPr>
          <w:rStyle w:val="VerbatimChar"/>
        </w:rPr>
        <w:t xml:space="preserve">backend/app/research/</w:t>
      </w:r>
      <w:r>
        <w:t xml:space="preserve"> </w:t>
      </w:r>
      <w:r>
        <w:t xml:space="preserve">and fully unreachable.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wires only</w:t>
      </w:r>
      <w:r>
        <w:t xml:space="preserve"> </w:t>
      </w:r>
      <w:r>
        <w:rPr>
          <w:rStyle w:val="VerbatimChar"/>
        </w:rPr>
        <w:t xml:space="preserve">research/provider_api.py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research/real_provider_client.py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POST /v1/research/provider/fetch</w:t>
      </w:r>
      <w:r>
        <w:t xml:space="preserve">; none of the 19 modules were imported by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or by any other reachable application module — they imported and tested only each other (a closed, self-referential cluster). All 19 modules and their 19 paired</w:t>
      </w:r>
      <w:r>
        <w:t xml:space="preserve"> </w:t>
      </w:r>
      <w:r>
        <w:rPr>
          <w:rStyle w:val="VerbatimChar"/>
        </w:rPr>
        <w:t xml:space="preserve">backend/tests/test_auron_research_*</w:t>
      </w:r>
      <w:r>
        <w:t xml:space="preserve"> </w:t>
      </w:r>
      <w:r>
        <w:t xml:space="preserve">files were deleted in this PR. The full suite is green afterwards (4515 passed, 0 failed; 100 tests belonging to the removed cluster dropped from the prior 4615). No</w:t>
      </w:r>
      <w:r>
        <w:t xml:space="preserve"> </w:t>
      </w:r>
      <w:r>
        <w:rPr>
          <w:rStyle w:val="VerbatimChar"/>
        </w:rPr>
        <w:t xml:space="preserve">backend/app/core/auron_integration_readiness_vNNN.py</w:t>
      </w:r>
      <w:r>
        <w:t xml:space="preserve"> </w:t>
      </w:r>
      <w:r>
        <w:t xml:space="preserve">file was touched — the sequential readiness chain (93 files) is preserved intact per the note above. Removed research modules:</w:t>
      </w:r>
      <w:r>
        <w:t xml:space="preserve"> </w:t>
      </w:r>
      <w:r>
        <w:rPr>
          <w:rStyle w:val="VerbatimChar"/>
        </w:rPr>
        <w:t xml:space="preserve">adapter_onboarding_v21_556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registry_evidence_v21_557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read_search_fetch_v21_558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evidence_policy_v21_559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report_simulation_v21_560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controlled_watch_v21_561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watch_reconciliation_v21_562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command_centre_v21_563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readonly_canary_adapter_v21_588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canary_e2e_certification_v21_589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provider_health_drift_v21_590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canary_command_centre_v21_591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external_readonly_sandbox_adapter_v21_610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external_sandbox_e2e_reconciliation_v21_611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external_sandbox_health_drift_observability_v21_612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network_transport_authorization_v21_613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readonly_network_transport_boundary_v21_614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readonly_network_boundary_e2e_certification_v21_615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real_provider_activation_readiness_v21_616</w:t>
      </w:r>
      <w:r>
        <w:t xml:space="preserve">.</w:t>
      </w:r>
    </w:p>
    <w:bookmarkEnd w:id="25"/>
    <w:bookmarkEnd w:id="26"/>
    <w:bookmarkStart w:id="27" w:name="X2cc68d3398c76c14fe74e8ecbb77d6979dffbec"/>
    <w:p>
      <w:pPr>
        <w:pStyle w:val="Heading2"/>
      </w:pPr>
      <w:r>
        <w:t xml:space="preserve">6. Cross-vertical Command Centre requirements</w:t>
      </w:r>
    </w:p>
    <w:p>
      <w:pPr>
        <w:pStyle w:val="FirstParagraph"/>
      </w:pPr>
      <w:r>
        <w:t xml:space="preserve">Persistent command/text interaction, capability health, simulation/execution visibility, approvals, execution timeline/failures, dedicated vertical workspaces, kill switches and audit/evidence access remain mandatory.</w:t>
      </w:r>
    </w:p>
    <w:bookmarkEnd w:id="27"/>
    <w:bookmarkStart w:id="28" w:name="definition-of-usable"/>
    <w:p>
      <w:pPr>
        <w:pStyle w:val="Heading2"/>
      </w:pPr>
      <w:r>
        <w:t xml:space="preserve">7. Definition of usable</w:t>
      </w:r>
    </w:p>
    <w:p>
      <w:pPr>
        <w:pStyle w:val="FirstParagraph"/>
      </w:pPr>
      <w:r>
        <w:t xml:space="preserve">A vertical requires observable provider health, persistent state, policy before outbound action, idempotency/reconciliation, visible results, disable controls, failure/replay tests and deliberate external enablement.</w:t>
      </w:r>
    </w:p>
    <w:bookmarkEnd w:id="28"/>
    <w:bookmarkStart w:id="29" w:name="pr-discipline"/>
    <w:p>
      <w:pPr>
        <w:pStyle w:val="Heading2"/>
      </w:pPr>
      <w:r>
        <w:t xml:space="preserve">8. PR discipline</w:t>
      </w:r>
    </w:p>
    <w:p>
      <w:pPr>
        <w:pStyle w:val="FirstParagraph"/>
      </w:pPr>
      <w:r>
        <w:t xml:space="preserve">One coherent layer per PR, with tests, dependencies and next layer documented. Verify merge before advancing.</w:t>
      </w:r>
    </w:p>
    <w:bookmarkEnd w:id="29"/>
    <w:bookmarkStart w:id="30" w:name="current-checkpoint"/>
    <w:p>
      <w:pPr>
        <w:pStyle w:val="Heading2"/>
      </w:pPr>
      <w:r>
        <w:t xml:space="preserve">9. Current checkpoint</w:t>
      </w:r>
    </w:p>
    <w:p>
      <w:pPr>
        <w:numPr>
          <w:ilvl w:val="0"/>
          <w:numId w:val="1003"/>
        </w:numPr>
        <w:pStyle w:val="Compact"/>
      </w:pPr>
      <w:r>
        <w:t xml:space="preserve">Foundation through v21.523 and Phase A A1-A6: complete.</w:t>
      </w:r>
    </w:p>
    <w:p>
      <w:pPr>
        <w:numPr>
          <w:ilvl w:val="0"/>
          <w:numId w:val="1003"/>
        </w:numPr>
        <w:pStyle w:val="Compact"/>
      </w:pPr>
      <w:r>
        <w:t xml:space="preserve">Trading B1-B10, Instagram C1-C8 and Phase D vertical architecture: complete with consequential provider execution gated.</w:t>
      </w:r>
    </w:p>
    <w:p>
      <w:pPr>
        <w:numPr>
          <w:ilvl w:val="0"/>
          <w:numId w:val="1003"/>
        </w:numPr>
        <w:pStyle w:val="Compact"/>
      </w:pPr>
      <w:r>
        <w:t xml:space="preserve">Phase E E1-E4, Phase F F1-F4 and Phase G through G21: complete.</w:t>
      </w:r>
    </w:p>
    <w:p>
      <w:pPr>
        <w:numPr>
          <w:ilvl w:val="0"/>
          <w:numId w:val="1003"/>
        </w:numPr>
        <w:pStyle w:val="Compact"/>
      </w:pPr>
      <w:r>
        <w:t xml:space="preserve">H1-H20 complete: Research provider path is contract-bound, reconciled, certified through one bounded transport-disabled session and zero-concrete-transport injection contract.</w:t>
      </w:r>
    </w:p>
    <w:p>
      <w:pPr>
        <w:numPr>
          <w:ilvl w:val="0"/>
          <w:numId w:val="1003"/>
        </w:numPr>
        <w:pStyle w:val="Compact"/>
      </w:pPr>
      <w:r>
        <w:t xml:space="preserve">H21-H31 complete: governed transport activation, authorization, binding, injection design/certification and exactly one inert read-only transport object are established and certified with network execution disabled.</w:t>
      </w:r>
    </w:p>
    <w:p>
      <w:pPr>
        <w:numPr>
          <w:ilvl w:val="0"/>
          <w:numId w:val="1003"/>
        </w:numPr>
        <w:pStyle w:val="Compact"/>
      </w:pPr>
      <w:r>
        <w:t xml:space="preserve">H32-H35 complete: one short-lived operator-bound revocable one-shot network-execution authorization is designed, certified, issued and certified again against exact transport/object/identity scope while provider traffic remains disabled.</w:t>
      </w:r>
    </w:p>
    <w:p>
      <w:pPr>
        <w:numPr>
          <w:ilvl w:val="0"/>
          <w:numId w:val="1003"/>
        </w:numPr>
        <w:pStyle w:val="Compact"/>
      </w:pPr>
      <w:r>
        <w:t xml:space="preserve">H36-H37 complete: the fail-closed exactly-once consumption boundary is designed and certified with expiry/revocation/read-only scope and zero network state.</w:t>
      </w:r>
    </w:p>
    <w:p>
      <w:pPr>
        <w:numPr>
          <w:ilvl w:val="0"/>
          <w:numId w:val="1003"/>
        </w:numPr>
        <w:pStyle w:val="Compact"/>
      </w:pPr>
      <w:r>
        <w:t xml:space="preserve">H21-H40 (32 research modules + 32 paired core modules + tests) removed: confirmed disconnected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and from each other’s non-test callers, tested only against a non-existent sandbox domain, and never capable of a real network call. Removal verified against the full test suite (4694 passed, 0 failed).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 provider path is now real and wired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/v1/research/provider/fetch</w:t>
      </w:r>
      <w:r>
        <w:t xml:space="preserve"> </w:t>
      </w:r>
      <w:r>
        <w:t xml:space="preserve">performs an actual bounded HTTPS GET against an explicit domain allowlist, with timeout, response-size limit, exactly-once request handling and an append-only audit log. This supersedes the H21-H40 design chain.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Dead-code reconciliation (2026-08-30):</w:t>
      </w:r>
      <w:r>
        <w:t xml:space="preserve"> </w:t>
      </w:r>
      <w:r>
        <w:t xml:space="preserve">19 unreachable</w:t>
      </w:r>
      <w:r>
        <w:t xml:space="preserve"> </w:t>
      </w:r>
      <w:r>
        <w:rPr>
          <w:rStyle w:val="VerbatimChar"/>
        </w:rPr>
        <w:t xml:space="preserve">backend/app/research/auron_research_*</w:t>
      </w:r>
      <w:r>
        <w:t xml:space="preserve"> </w:t>
      </w:r>
      <w:r>
        <w:t xml:space="preserve">modules that the roadmap had already described as removed but were still on disk, plus their 19 paired</w:t>
      </w:r>
      <w:r>
        <w:t xml:space="preserve"> </w:t>
      </w:r>
      <w:r>
        <w:rPr>
          <w:rStyle w:val="VerbatimChar"/>
        </w:rPr>
        <w:t xml:space="preserve">backend/tests/test_auron_research_*</w:t>
      </w:r>
      <w:r>
        <w:t xml:space="preserve"> </w:t>
      </w:r>
      <w:r>
        <w:t xml:space="preserve">files, have now been physically deleted (branch</w:t>
      </w:r>
      <w:r>
        <w:t xml:space="preserve"> </w:t>
      </w:r>
      <w:r>
        <w:rPr>
          <w:rStyle w:val="VerbatimChar"/>
        </w:rPr>
        <w:t xml:space="preserve">chore/remove-dead-auron-research-modules</w:t>
      </w:r>
      <w:r>
        <w:t xml:space="preserve">). Verified unreachable via an import-graph audit from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; no</w:t>
      </w:r>
      <w:r>
        <w:t xml:space="preserve"> </w:t>
      </w:r>
      <w:r>
        <w:rPr>
          <w:rStyle w:val="VerbatimChar"/>
        </w:rPr>
        <w:t xml:space="preserve">auron_integration_readiness_vNNN.py</w:t>
      </w:r>
      <w:r>
        <w:t xml:space="preserve"> </w:t>
      </w:r>
      <w:r>
        <w:t xml:space="preserve">file touched. Full suite green: 4515 passed, 0 failed (down from 4615 as the 100 tests of the removed cluster were deleted).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Multi-vertical dead-code reconciliation (2026-08-30):</w:t>
      </w:r>
      <w:r>
        <w:t xml:space="preserve"> </w:t>
      </w:r>
      <w:r>
        <w:t xml:space="preserve">A comprehensive import-graph audit from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 </w:t>
      </w:r>
      <w:r>
        <w:t xml:space="preserve">identified 47 additional unreachable</w:t>
      </w:r>
      <w:r>
        <w:t xml:space="preserve"> </w:t>
      </w:r>
      <w:r>
        <w:rPr>
          <w:rStyle w:val="VerbatimChar"/>
        </w:rPr>
        <w:t xml:space="preserve">auron_*</w:t>
      </w:r>
      <w:r>
        <w:t xml:space="preserve"> </w:t>
      </w:r>
      <w:r>
        <w:t xml:space="preserve">modules across multiple verticals (8 automation, 11 communications, 3 content/instagram, 14 core, 11 documents), all confirmed disconnected from the live application. These modules, plus their 47 paired test files (94 files total), have been physically deleted (branch</w:t>
      </w:r>
      <w:r>
        <w:t xml:space="preserve"> </w:t>
      </w:r>
      <w:r>
        <w:rPr>
          <w:rStyle w:val="VerbatimChar"/>
        </w:rPr>
        <w:t xml:space="preserve">chore/remove-dead-auron-modules-multi-vertical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auron_integration_readiness_vNNN.py</w:t>
      </w:r>
      <w:r>
        <w:t xml:space="preserve"> </w:t>
      </w:r>
      <w:r>
        <w:t xml:space="preserve">file touched — the sequential readiness chain remains intact. Full suite green: 4245 passed, 0 failed (down from 4515 as 270 tests of the removed clusters were deleted).</w:t>
      </w:r>
    </w:p>
    <w:p>
      <w:pPr>
        <w:numPr>
          <w:ilvl w:val="0"/>
          <w:numId w:val="1003"/>
        </w:numPr>
        <w:pStyle w:val="Compact"/>
      </w:pPr>
      <w:r>
        <w:t xml:space="preserve">Next: extend the Research allowlist deliberately as real needs arise; consider real wiring for Trading, Instagram, Communications, Automation, and Documents verticals following the Research pattern (one real endpoint, explicit safety boundaries, audit log).</w:t>
      </w:r>
    </w:p>
    <w:p>
      <w:pPr>
        <w:pStyle w:val="FirstParagraph"/>
      </w:pPr>
      <w:r>
        <w:t xml:space="preserve">This checkpoint must be updated at each phase boundary or major activation milestone.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2026-08-30T12:10:20Z</dcterms:created>
  <dcterms:modified xsi:type="dcterms:W3CDTF">2026-08-30T12:10:20Z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