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arvis-auron-canonical-master-plan"/>
    <w:p>
      <w:pPr>
        <w:pStyle w:val="Heading1"/>
      </w:pPr>
      <w:r>
        <w:t xml:space="preserve">JARVIS / AURON — Canonical Master Plan</w:t>
      </w:r>
    </w:p>
    <w:p>
      <w:pPr>
        <w:pStyle w:val="FirstParagraph"/>
      </w:pPr>
      <w:r>
        <w:t xml:space="preserve">Status: canonical project roadmap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ScalpingEdward/JARVIS_os</w:t>
      </w:r>
    </w:p>
    <w:bookmarkStart w:id="20" w:name="mission"/>
    <w:p>
      <w:pPr>
        <w:pStyle w:val="Heading2"/>
      </w:pPr>
      <w:r>
        <w:t xml:space="preserve">1. Mission</w:t>
      </w:r>
    </w:p>
    <w:p>
      <w:pPr>
        <w:pStyle w:val="FirstParagraph"/>
      </w:pPr>
      <w:r>
        <w:t xml:space="preserve">JARVIS is the master operating system. AURON is its controlled intelligence/orchestration layer. Vertical capabilities operate through one governed core, one Command Centre, shared identity/audit state, and explicit safety boundaries. Build sequence must be preserved.</w:t>
      </w:r>
    </w:p>
    <w:bookmarkEnd w:id="20"/>
    <w:bookmarkStart w:id="21" w:name="Xc8db8ebaefc7caf03815e2dbc3638fb3eaf7e82"/>
    <w:p>
      <w:pPr>
        <w:pStyle w:val="Heading2"/>
      </w:pPr>
      <w:r>
        <w:t xml:space="preserve">2. Source-of-truth rule for every new chat/build session</w:t>
      </w:r>
    </w:p>
    <w:p>
      <w:pPr>
        <w:numPr>
          <w:ilvl w:val="0"/>
          <w:numId w:val="1001"/>
        </w:numPr>
        <w:pStyle w:val="Compact"/>
      </w:pPr>
      <w:r>
        <w:t xml:space="preserve">Read this file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Verify the last claimed PR is actually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Inspect current implementation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Continue from the checkpoint and dependency graph.</w:t>
      </w:r>
    </w:p>
    <w:p>
      <w:pPr>
        <w:numPr>
          <w:ilvl w:val="0"/>
          <w:numId w:val="1001"/>
        </w:numPr>
        <w:pStyle w:val="Compact"/>
      </w:pPr>
      <w:r>
        <w:t xml:space="preserve">Never restart merged layers or invent merge state.</w:t>
      </w:r>
    </w:p>
    <w:p>
      <w:pPr>
        <w:numPr>
          <w:ilvl w:val="0"/>
          <w:numId w:val="1001"/>
        </w:numPr>
        <w:pStyle w:val="Compact"/>
      </w:pPr>
      <w:r>
        <w:t xml:space="preserve">Reconcile implementation and roadmap explicitly if they disagree.</w:t>
      </w:r>
    </w:p>
    <w:bookmarkEnd w:id="21"/>
    <w:bookmarkStart w:id="22" w:name="architecture-invariants"/>
    <w:p>
      <w:pPr>
        <w:pStyle w:val="Heading2"/>
      </w:pPr>
      <w:r>
        <w:t xml:space="preserve">3. Architecture invariants</w:t>
      </w:r>
    </w:p>
    <w:p>
      <w:pPr>
        <w:numPr>
          <w:ilvl w:val="0"/>
          <w:numId w:val="1002"/>
        </w:numPr>
        <w:pStyle w:val="Compact"/>
      </w:pPr>
      <w:r>
        <w:t xml:space="preserve">JARVIS = master OS; AURON = orchestration/intelligence/governance.</w:t>
      </w:r>
    </w:p>
    <w:p>
      <w:pPr>
        <w:numPr>
          <w:ilvl w:val="0"/>
          <w:numId w:val="1002"/>
        </w:numPr>
        <w:pStyle w:val="Compact"/>
      </w:pPr>
      <w:r>
        <w:t xml:space="preserve">Command Centre remains operational UI with persistent command/text interaction.</w:t>
      </w:r>
    </w:p>
    <w:p>
      <w:pPr>
        <w:numPr>
          <w:ilvl w:val="0"/>
          <w:numId w:val="1002"/>
        </w:numPr>
        <w:pStyle w:val="Compact"/>
      </w:pPr>
      <w:r>
        <w:t xml:space="preserve">Consequential external actions require explicit execution boundaries, observable results, audit and failure state.</w:t>
      </w:r>
    </w:p>
    <w:p>
      <w:pPr>
        <w:numPr>
          <w:ilvl w:val="0"/>
          <w:numId w:val="1002"/>
        </w:numPr>
        <w:pStyle w:val="Compact"/>
      </w:pPr>
      <w:r>
        <w:t xml:space="preserve">Simulation remains independent of external execution.</w:t>
      </w:r>
    </w:p>
    <w:p>
      <w:pPr>
        <w:numPr>
          <w:ilvl w:val="0"/>
          <w:numId w:val="1002"/>
        </w:numPr>
        <w:pStyle w:val="Compact"/>
      </w:pPr>
      <w:r>
        <w:t xml:space="preserve">Provider adapters cannot bypass central policy/risk/approval controls.</w:t>
      </w:r>
    </w:p>
    <w:p>
      <w:pPr>
        <w:numPr>
          <w:ilvl w:val="0"/>
          <w:numId w:val="1002"/>
        </w:numPr>
        <w:pStyle w:val="Compact"/>
      </w:pPr>
      <w:r>
        <w:t xml:space="preserve">Idempotency, reconciliation, health, provenance/version state and fail-closed behavior are core infrastructure.</w:t>
      </w:r>
    </w:p>
    <w:p>
      <w:pPr>
        <w:numPr>
          <w:ilvl w:val="0"/>
          <w:numId w:val="1002"/>
        </w:numPr>
        <w:pStyle w:val="Compact"/>
      </w:pPr>
      <w:r>
        <w:t xml:space="preserve">Secrets never belong in source control.</w:t>
      </w:r>
    </w:p>
    <w:p>
      <w:pPr>
        <w:numPr>
          <w:ilvl w:val="0"/>
          <w:numId w:val="1002"/>
        </w:numPr>
        <w:pStyle w:val="Compact"/>
      </w:pPr>
      <w:r>
        <w:t xml:space="preserve">External execution is deliberate, never default.</w:t>
      </w:r>
    </w:p>
    <w:bookmarkEnd w:id="22"/>
    <w:bookmarkStart w:id="23" w:name="completed-foundation-lineage"/>
    <w:p>
      <w:pPr>
        <w:pStyle w:val="Heading2"/>
      </w:pPr>
      <w:r>
        <w:t xml:space="preserve">4. Completed foundation lineage</w:t>
      </w:r>
    </w:p>
    <w:p>
      <w:pPr>
        <w:pStyle w:val="FirstParagraph"/>
      </w:pPr>
      <w:r>
        <w:t xml:space="preserve">Foundation successor governance closed at v21.523. Phase A core cutover is complete through A6.</w:t>
      </w:r>
    </w:p>
    <w:bookmarkEnd w:id="23"/>
    <w:bookmarkStart w:id="26" w:name="mandatory-build-sequence"/>
    <w:p>
      <w:pPr>
        <w:pStyle w:val="Heading2"/>
      </w:pPr>
      <w:r>
        <w:t xml:space="preserve">5. Mandatory build sequence</w:t>
      </w:r>
    </w:p>
    <w:bookmarkStart w:id="24" w:name="phase-b-trading-reconciled"/>
    <w:p>
      <w:pPr>
        <w:pStyle w:val="Heading3"/>
      </w:pPr>
      <w:r>
        <w:t xml:space="preserve">Phase B — Trading (reconciled)</w:t>
      </w:r>
    </w:p>
    <w:p>
      <w:pPr>
        <w:pStyle w:val="FirstParagraph"/>
      </w:pPr>
      <w:r>
        <w:t xml:space="preserve">The real, wired path is</w:t>
      </w:r>
      <w:r>
        <w:t xml:space="preserve"> </w:t>
      </w:r>
      <w:r>
        <w:rPr>
          <w:rStyle w:val="VerbatimChar"/>
        </w:rPr>
        <w:t xml:space="preserve">backend/app/trading/api.py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/v1/trading/status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/v1/trading/evaluate</w:t>
      </w:r>
      <w:r>
        <w:t xml:space="preserve">, setup listing) registered in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. This is genuinely usable today.</w:t>
      </w:r>
    </w:p>
    <w:p>
      <w:pPr>
        <w:pStyle w:val="BodyText"/>
      </w:pPr>
      <w:r>
        <w:t xml:space="preserve">Fourteen</w:t>
      </w:r>
      <w:r>
        <w:t xml:space="preserve"> </w:t>
      </w:r>
      <w:r>
        <w:rPr>
          <w:rStyle w:val="VerbatimChar"/>
        </w:rPr>
        <w:t xml:space="preserve">auron_*_v21_53x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v21_604-607</w:t>
      </w:r>
      <w:r>
        <w:t xml:space="preserve"> </w:t>
      </w:r>
      <w:r>
        <w:t xml:space="preserve">modules in</w:t>
      </w:r>
      <w:r>
        <w:t xml:space="preserve"> </w:t>
      </w:r>
      <w:r>
        <w:rPr>
          <w:rStyle w:val="VerbatimChar"/>
        </w:rPr>
        <w:t xml:space="preserve">backend/app/trading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backend/app/core</w:t>
      </w:r>
      <w:r>
        <w:t xml:space="preserve"> </w:t>
      </w:r>
      <w:r>
        <w:t xml:space="preserve">(registry, account state, signal intake, risk engine, multi-account allocation, guards, MT5 adapter, reconciliation canary, controlled live enablement, command centre, shadow-canary selection/adapter/certification/health) plus their</w:t>
      </w:r>
      <w:r>
        <w:t xml:space="preserve"> </w:t>
      </w:r>
      <w:r>
        <w:rPr>
          <w:rStyle w:val="VerbatimChar"/>
        </w:rPr>
        <w:t xml:space="preserve">api/routes</w:t>
      </w:r>
      <w:r>
        <w:t xml:space="preserve"> </w:t>
      </w:r>
      <w:r>
        <w:t xml:space="preserve">command-centre file were audited the same way as the Research H21-H40 chain: never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, never called by</w:t>
      </w:r>
      <w:r>
        <w:t xml:space="preserve"> </w:t>
      </w:r>
      <w:r>
        <w:rPr>
          <w:rStyle w:val="VerbatimChar"/>
        </w:rPr>
        <w:t xml:space="preserve">trading/api.py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trading/service.py</w:t>
      </w:r>
      <w:r>
        <w:t xml:space="preserve">, only importing and testing each other. They have been removed. Full suite green afterward (4615 passed).</w:t>
      </w:r>
    </w:p>
    <w:p>
      <w:pPr>
        <w:pStyle w:val="BodyText"/>
      </w:pPr>
      <w:r>
        <w:rPr>
          <w:bCs/>
          <w:b/>
        </w:rPr>
        <w:t xml:space="preserve">Note preserved during audit:</w:t>
      </w:r>
      <w:r>
        <w:t xml:space="preserve"> </w:t>
      </w:r>
      <w:r>
        <w:rPr>
          <w:rStyle w:val="VerbatimChar"/>
        </w:rPr>
        <w:t xml:space="preserve">backend/app/core/auron_integration_readiness_vNNN.py</w:t>
      </w:r>
      <w:r>
        <w:t xml:space="preserve"> </w:t>
      </w:r>
      <w:r>
        <w:t xml:space="preserve">files form a sequential linked chain (each version imports the previous one,</w:t>
      </w:r>
      <w:r>
        <w:t xml:space="preserve"> </w:t>
      </w:r>
      <w:r>
        <w:rPr>
          <w:rStyle w:val="VerbatimChar"/>
        </w:rPr>
        <w:t xml:space="preserve">v21_539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v21_538</w:t>
      </w:r>
      <w:r>
        <w:t xml:space="preserve"> </w:t>
      </w:r>
      <w:r>
        <w:t xml:space="preserve">-&gt; … -&gt;</w:t>
      </w:r>
      <w:r>
        <w:t xml:space="preserve"> </w:t>
      </w:r>
      <w:r>
        <w:rPr>
          <w:rStyle w:val="VerbatimChar"/>
        </w:rPr>
        <w:t xml:space="preserve">v21_1</w:t>
      </w:r>
      <w:r>
        <w:t xml:space="preserve">) shared across every vertical, not a per-vertical ledger. Deleting a file in the middle of this chain breaks every higher version that has not itself been reconciled/removed yet. Do not delete an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unless every version above it in the chain has already been removed or repointed. This chain itself is a candidate for a future, carefully-sequenced cleanup, not an ad hoc deletion.</w:t>
      </w:r>
    </w:p>
    <w:p>
      <w:pPr>
        <w:pStyle w:val="BodyText"/>
      </w:pPr>
      <w:r>
        <w:t xml:space="preserve">B1-B10 as a phase label is retired in favor of the concrete statement above: one real endpoint set exists and works; the rest was ceremony.</w:t>
      </w:r>
      <w:r>
        <w:t xml:space="preserve"> </w:t>
      </w:r>
      <w:r>
        <w:t xml:space="preserve">### Phase C — Instagram Content Manager</w:t>
      </w:r>
      <w:r>
        <w:t xml:space="preserve"> </w:t>
      </w:r>
      <w:r>
        <w:t xml:space="preserve">Completed through C8; provider writes remain gated.</w:t>
      </w:r>
      <w:r>
        <w:t xml:space="preserve"> </w:t>
      </w:r>
      <w:r>
        <w:t xml:space="preserve">### Phase D — Additional verticals</w:t>
      </w:r>
      <w:r>
        <w:t xml:space="preserve"> </w:t>
      </w:r>
      <w:r>
        <w:t xml:space="preserve">Communications D1-D8, Research D9-D16, Automation D17-D24 and Files &amp; Documents D25-D32 completed.</w:t>
      </w:r>
      <w:r>
        <w:t xml:space="preserve"> </w:t>
      </w:r>
      <w:r>
        <w:t xml:space="preserve">### Phase E — Cross-vertical integration certification</w:t>
      </w:r>
      <w:r>
        <w:t xml:space="preserve"> </w:t>
      </w:r>
      <w:r>
        <w:t xml:space="preserve">E1-E4 completed.</w:t>
      </w:r>
      <w:r>
        <w:t xml:space="preserve"> </w:t>
      </w:r>
      <w:r>
        <w:t xml:space="preserve">### Phase F — Controlled provider canary program</w:t>
      </w:r>
      <w:r>
        <w:t xml:space="preserve"> </w:t>
      </w:r>
      <w:r>
        <w:t xml:space="preserve">F1-F4 completed.</w:t>
      </w:r>
      <w:r>
        <w:t xml:space="preserve"> </w:t>
      </w:r>
      <w:r>
        <w:t xml:space="preserve">### Phase G — Provider-specific controlled canary integration</w:t>
      </w:r>
      <w:r>
        <w:t xml:space="preserve"> </w:t>
      </w:r>
      <w:r>
        <w:t xml:space="preserve">Research G1-G4, Instagram G5-G8, Files &amp; Documents G9-G12, Communications G13-G16 and Trading-shadow G17-G20 are complete. G21 completes the evidence-driven expansion decision.</w:t>
      </w:r>
    </w:p>
    <w:bookmarkEnd w:id="24"/>
    <w:bookmarkStart w:id="25" w:name="Xfe3da743801a41a094ff3ef0561052149947ab5"/>
    <w:p>
      <w:pPr>
        <w:pStyle w:val="Heading3"/>
      </w:pPr>
      <w:r>
        <w:t xml:space="preserve">Phase H — Controlled external-provider sandbox integration (reconciled)</w:t>
      </w:r>
    </w:p>
    <w:p>
      <w:pPr>
        <w:pStyle w:val="FirstParagraph"/>
      </w:pPr>
      <w:r>
        <w:t xml:space="preserve">H1-H20 established a real, contract-bound, read-only sandbox adapter (no network transport, no credential resolution) and are retained.</w:t>
      </w:r>
    </w:p>
    <w:p>
      <w:pPr>
        <w:pStyle w:val="BodyText"/>
      </w:pPr>
      <w:r>
        <w:t xml:space="preserve">H21-H40 (transport injection, authorization gates, execution-boundary design, and the H40 request-execution design contract) were audited against the actual repository and found to be fully disconnected: none of the ~50 modules in this range were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or any other application code, they only imported and tested each other, and the one concrete</w:t>
      </w:r>
      <w:r>
        <w:t xml:space="preserve"> </w:t>
      </w:r>
      <w:r>
        <w:t xml:space="preserve">“</w:t>
      </w:r>
      <w:r>
        <w:t xml:space="preserve">request</w:t>
      </w:r>
      <w:r>
        <w:t xml:space="preserve">”</w:t>
      </w:r>
      <w:r>
        <w:t xml:space="preserve"> </w:t>
      </w:r>
      <w:r>
        <w:t xml:space="preserve">they modeled targeted a non-existent</w:t>
      </w:r>
      <w:r>
        <w:t xml:space="preserve"> </w:t>
      </w:r>
      <w:r>
        <w:rPr>
          <w:rStyle w:val="VerbatimChar"/>
        </w:rPr>
        <w:t xml:space="preserve">sandbox.example.test</w:t>
      </w:r>
      <w:r>
        <w:t xml:space="preserve"> </w:t>
      </w:r>
      <w:r>
        <w:t xml:space="preserve">domain. No module in this range ever performed, or could perform, a network call. This range (32 research modules + 32 paired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integration-readiness modules + their tests, ~96 files) has been removed rather than carried forward, since it added no real capability and no real safety guarantee beyond what H1-H20 already provide.</w:t>
      </w:r>
    </w:p>
    <w:p>
      <w:pPr>
        <w:pStyle w:val="BodyText"/>
      </w:pPr>
      <w:r>
        <w:rPr>
          <w:bCs/>
          <w:b/>
        </w:rPr>
        <w:t xml:space="preserve">Replacement:</w:t>
      </w:r>
      <w:r>
        <w:t xml:space="preserve"> </w:t>
      </w:r>
      <w:r>
        <w:rPr>
          <w:rStyle w:val="VerbatimChar"/>
        </w:rPr>
        <w:t xml:space="preserve">backend/app/research/real_provider_client.py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backend/app/research/provider_api.py</w:t>
      </w:r>
      <w:r>
        <w:t xml:space="preserve">, 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. This is a real, executable client: HTTPS-only, explicit domain allowlist (currently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), bounded timeout, bounded response size, exactly-once per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via an append-only sqlite audit log, no write capability, no credential handling. Covered by</w:t>
      </w:r>
      <w:r>
        <w:t xml:space="preserve"> </w:t>
      </w:r>
      <w:r>
        <w:rPr>
          <w:rStyle w:val="VerbatimChar"/>
        </w:rPr>
        <w:t xml:space="preserve">backend/tests/test_research_real_provider_client.py</w:t>
      </w:r>
      <w:r>
        <w:t xml:space="preserve"> </w:t>
      </w:r>
      <w:r>
        <w:t xml:space="preserve">(allowlist rejection, scheme rejection, size-limit enforcement, timeout handling, exactly-once, and the wired API endpoint), all passing alongside the full existing suite (4694 tests green after this change).</w:t>
      </w:r>
    </w:p>
    <w:p>
      <w:pPr>
        <w:pStyle w:val="BodyText"/>
      </w:pPr>
      <w:r>
        <w:t xml:space="preserve">Phase H is considered functionally complete for a first real Research provider path. Extending the allowlist to additional domains/providers is a deliberate, reviewed code change to</w:t>
      </w:r>
      <w:r>
        <w:t xml:space="preserve"> </w:t>
      </w:r>
      <w:r>
        <w:rPr>
          <w:rStyle w:val="VerbatimChar"/>
        </w:rPr>
        <w:t xml:space="preserve">DEFAULT_ALLOWED_DOMAINS</w:t>
      </w:r>
      <w:r>
        <w:t xml:space="preserve">, never a runtime parameter.</w:t>
      </w:r>
    </w:p>
    <w:p>
      <w:pPr>
        <w:pStyle w:val="BodyText"/>
      </w:pPr>
      <w:r>
        <w:rPr>
          <w:bCs/>
          <w:b/>
        </w:rPr>
        <w:t xml:space="preserve">Lesson carried forward:</w:t>
      </w:r>
      <w:r>
        <w:t xml:space="preserve"> </w:t>
      </w:r>
      <w:r>
        <w:t xml:space="preserve">future phases must add one real, wired, testable capability per PR rather than a new design/certification layer describing a capability that is not yet wired in. If a PR’s diff does not touch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’s router registration or an equivalent real entrypoint, it does not ship user-visible functionality and should say so explicitly rather than advancing the phase counter.</w:t>
      </w:r>
    </w:p>
    <w:p>
      <w:pPr>
        <w:pStyle w:val="BodyText"/>
      </w:pPr>
      <w:r>
        <w:rPr>
          <w:bCs/>
          <w:b/>
        </w:rPr>
        <w:t xml:space="preserve">Reconciliation (2026-08-30) — physical dead-code removal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backend/app/research/auron_research_*</w:t>
      </w:r>
      <w:r>
        <w:rPr>
          <w:bCs/>
          <w:b/>
        </w:rPr>
        <w:t xml:space="preserve">:</w:t>
      </w:r>
      <w:r>
        <w:t xml:space="preserve"> </w:t>
      </w:r>
      <w:r>
        <w:t xml:space="preserve">the roadmap above described the H21-H40 chain as</w:t>
      </w:r>
      <w:r>
        <w:t xml:space="preserve"> </w:t>
      </w:r>
      <w:r>
        <w:t xml:space="preserve">“</w:t>
      </w:r>
      <w:r>
        <w:t xml:space="preserve">removed</w:t>
      </w:r>
      <w:r>
        <w:t xml:space="preserve">”</w:t>
      </w:r>
      <w:r>
        <w:t xml:space="preserve">, but a fresh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found that 19</w:t>
      </w:r>
      <w:r>
        <w:t xml:space="preserve"> </w:t>
      </w:r>
      <w:r>
        <w:rPr>
          <w:rStyle w:val="VerbatimChar"/>
        </w:rPr>
        <w:t xml:space="preserve">auron_research_*_v21_5xx/6xx.py</w:t>
      </w:r>
      <w:r>
        <w:t xml:space="preserve"> </w:t>
      </w:r>
      <w:r>
        <w:t xml:space="preserve">modules were still physically present in</w:t>
      </w:r>
      <w:r>
        <w:t xml:space="preserve"> </w:t>
      </w:r>
      <w:r>
        <w:rPr>
          <w:rStyle w:val="VerbatimChar"/>
        </w:rPr>
        <w:t xml:space="preserve">backend/app/research/</w:t>
      </w:r>
      <w:r>
        <w:t xml:space="preserve"> </w:t>
      </w:r>
      <w:r>
        <w:t xml:space="preserve">and fully unreachable.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wires only</w:t>
      </w:r>
      <w:r>
        <w:t xml:space="preserve"> </w:t>
      </w:r>
      <w:r>
        <w:rPr>
          <w:rStyle w:val="VerbatimChar"/>
        </w:rPr>
        <w:t xml:space="preserve">research/provider_api.py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research/real_provider_client.py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; none of the 19 modules were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or by any other reachable application module — they imported and tested only each other (a closed, self-referential cluster). All 19 modules and their 19 paired</w:t>
      </w:r>
      <w:r>
        <w:t xml:space="preserve"> </w:t>
      </w:r>
      <w:r>
        <w:rPr>
          <w:rStyle w:val="VerbatimChar"/>
        </w:rPr>
        <w:t xml:space="preserve">backend/tests/test_auron_research_*</w:t>
      </w:r>
      <w:r>
        <w:t xml:space="preserve"> </w:t>
      </w:r>
      <w:r>
        <w:t xml:space="preserve">files were deleted in this PR. The full suite is green afterwards (4515 passed, 0 failed; 100 tests belonging to the removed cluster dropped from the prior 4615). No</w:t>
      </w:r>
      <w:r>
        <w:t xml:space="preserve"> </w:t>
      </w:r>
      <w:r>
        <w:rPr>
          <w:rStyle w:val="VerbatimChar"/>
        </w:rPr>
        <w:t xml:space="preserve">backend/app/core/auron_integration_readiness_vNNN.py</w:t>
      </w:r>
      <w:r>
        <w:t xml:space="preserve"> </w:t>
      </w:r>
      <w:r>
        <w:t xml:space="preserve">file was touched — the sequential readiness chain (93 files) is preserved intact per the note above. Removed research modules:</w:t>
      </w:r>
      <w:r>
        <w:t xml:space="preserve"> </w:t>
      </w:r>
      <w:r>
        <w:rPr>
          <w:rStyle w:val="VerbatimChar"/>
        </w:rPr>
        <w:t xml:space="preserve">adapter_onboarding_v21_556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registry_evidence_v21_557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read_search_fetch_v21_558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evidence_policy_v21_559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report_simulation_v21_560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controlled_watch_v21_561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watch_reconciliation_v21_562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command_centre_v21_563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readonly_canary_adapter_v21_588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canary_e2e_certification_v21_589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provider_health_drift_v21_590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canary_command_centre_v21_591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external_readonly_sandbox_adapter_v21_610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external_sandbox_e2e_reconciliation_v21_611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external_sandbox_health_drift_observability_v21_612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network_transport_authorization_v21_613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readonly_network_transport_boundary_v21_614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readonly_network_boundary_e2e_certification_v21_615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real_provider_activation_readiness_v21_616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New capability (2026-08-30) — real, wired Trading Accounts &amp; Strategy Assignment registry:</w:t>
      </w:r>
      <w:r>
        <w:t xml:space="preserve"> </w:t>
      </w:r>
      <w:r>
        <w:rPr>
          <w:rStyle w:val="VerbatimChar"/>
        </w:rPr>
        <w:t xml:space="preserve">backend/app/accounts/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 prefix</w:t>
      </w:r>
      <w:r>
        <w:t xml:space="preserve"> </w:t>
      </w:r>
      <w:r>
        <w:rPr>
          <w:rStyle w:val="VerbatimChar"/>
        </w:rPr>
        <w:t xml:space="preserve">/v1/accounts</w:t>
      </w:r>
      <w:r>
        <w:t xml:space="preserve">. This is the first</w:t>
      </w:r>
      <w:r>
        <w:t xml:space="preserve"> </w:t>
      </w:r>
      <w:r>
        <w:rPr>
          <w:iCs/>
          <w:i/>
        </w:rPr>
        <w:t xml:space="preserve">persistent source of truth</w:t>
      </w:r>
      <w:r>
        <w:t xml:space="preserve"> </w:t>
      </w:r>
      <w:r>
        <w:t xml:space="preserve">for which accounts AURON manages and which strategies run on each — the foundation the vision needs (</w:t>
      </w:r>
      <w:r>
        <w:t xml:space="preserve">“</w:t>
      </w:r>
      <w:r>
        <w:t xml:space="preserve">manage prop-firm accounts, run 1-2 strategies per account, and also trade live accounts</w:t>
      </w:r>
      <w:r>
        <w:t xml:space="preserve">”</w:t>
      </w:r>
      <w:r>
        <w:t xml:space="preserve">). It follows the Research pattern: real sqlite persistence (</w:t>
      </w:r>
      <w:r>
        <w:rPr>
          <w:rStyle w:val="VerbatimChar"/>
        </w:rPr>
        <w:t xml:space="preserve">data/accounts.db</w:t>
      </w:r>
      <w:r>
        <w:t xml:space="preserve">, gitignored), fail-closed validation, and an append-only</w:t>
      </w:r>
      <w:r>
        <w:t xml:space="preserve"> </w:t>
      </w:r>
      <w:r>
        <w:rPr>
          <w:rStyle w:val="VerbatimChar"/>
        </w:rPr>
        <w:t xml:space="preserve">account_audit</w:t>
      </w:r>
      <w:r>
        <w:t xml:space="preserve"> </w:t>
      </w:r>
      <w:r>
        <w:t xml:space="preserve">trail for every mutation. Capabilities: register</w:t>
      </w:r>
      <w:r>
        <w:t xml:space="preserve"> </w:t>
      </w:r>
      <w:r>
        <w:rPr>
          <w:rStyle w:val="VerbatimChar"/>
        </w:rPr>
        <w:t xml:space="preserve">prop</w:t>
      </w:r>
      <w:r>
        <w:t xml:space="preserve">/</w:t>
      </w:r>
      <w:r>
        <w:rPr>
          <w:rStyle w:val="VerbatimChar"/>
        </w:rPr>
        <w:t xml:space="preserve">live</w:t>
      </w:r>
      <w:r>
        <w:t xml:space="preserve">/</w:t>
      </w:r>
      <w:r>
        <w:rPr>
          <w:rStyle w:val="VerbatimChar"/>
        </w:rPr>
        <w:t xml:space="preserve">demo</w:t>
      </w:r>
      <w:r>
        <w:t xml:space="preserve"> </w:t>
      </w:r>
      <w:r>
        <w:t xml:space="preserve">accounts (prop accounts</w:t>
      </w:r>
      <w:r>
        <w:t xml:space="preserve"> </w:t>
      </w:r>
      <w:r>
        <w:rPr>
          <w:iCs/>
          <w:i/>
        </w:rPr>
        <w:t xml:space="preserve">require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PropFirmRules</w:t>
      </w:r>
      <w:r>
        <w:t xml:space="preserve"> </w:t>
      </w:r>
      <w:r>
        <w:t xml:space="preserve">set: max daily loss %, max total drawdown %, profit target %, min trading days, static/trailing drawdown);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 </w:t>
      </w:r>
      <w:r>
        <w:t xml:space="preserve">uniqueness; assign strategies with a per-account cap (default 2, honouring the</w:t>
      </w:r>
      <w:r>
        <w:t xml:space="preserve"> </w:t>
      </w:r>
      <w:r>
        <w:t xml:space="preserve">“</w:t>
      </w:r>
      <w:r>
        <w:t xml:space="preserve">1-2 strategies per account</w:t>
      </w:r>
      <w:r>
        <w:t xml:space="preserve">”</w:t>
      </w:r>
      <w:r>
        <w:t xml:space="preserve"> </w:t>
      </w:r>
      <w:r>
        <w:t xml:space="preserve">rule), no duplicate</w:t>
      </w:r>
      <w:r>
        <w:t xml:space="preserve"> </w:t>
      </w:r>
      <w:r>
        <w:rPr>
          <w:rStyle w:val="VerbatimChar"/>
        </w:rPr>
        <w:t xml:space="preserve">strategy_id</w:t>
      </w:r>
      <w:r>
        <w:t xml:space="preserve">, and total allocation ≤ 100%; push broker state snapshots (</w:t>
      </w:r>
      <w:r>
        <w:rPr>
          <w:rStyle w:val="VerbatimChar"/>
        </w:rPr>
        <w:t xml:space="preserve">balance</w:t>
      </w:r>
      <w:r>
        <w:t xml:space="preserve">/</w:t>
      </w:r>
      <w:r>
        <w:rPr>
          <w:rStyle w:val="VerbatimChar"/>
        </w:rPr>
        <w:t xml:space="preserve">equity</w:t>
      </w:r>
      <w:r>
        <w:t xml:space="preserve">/</w:t>
      </w:r>
      <w:r>
        <w:rPr>
          <w:rStyle w:val="VerbatimChar"/>
        </w:rPr>
        <w:t xml:space="preserve">day_start_balance</w:t>
      </w:r>
      <w:r>
        <w:t xml:space="preserve">) that auto-flag</w:t>
      </w:r>
      <w:r>
        <w:t xml:space="preserve"> </w:t>
      </w:r>
      <w:r>
        <w:rPr>
          <w:rStyle w:val="VerbatimChar"/>
        </w:rPr>
        <w:t xml:space="preserve">breached</w:t>
      </w:r>
      <w:r>
        <w:t xml:space="preserve"> </w:t>
      </w:r>
      <w:r>
        <w:t xml:space="preserve">status on a prop rule violation and count distinct UTC trading days; compute live compliance (daily-loss / drawdown / profit headrooms, profit-target progress, breach reasons); and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/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with breached accounts blocked from re-activation. Endpoints:</w:t>
      </w:r>
      <w:r>
        <w:t xml:space="preserve"> </w:t>
      </w:r>
      <w:r>
        <w:rPr>
          <w:rStyle w:val="VerbatimChar"/>
        </w:rPr>
        <w:t xml:space="preserve">POST /v1/accounts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GET|POST /v1/accounts/{id}/strategies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/v1/accounts/{id}/strategies/{strategy_id}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/v1/accounts/{id}/compliance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/v1/accounts/{id}/activate</w:t>
      </w:r>
      <w:r>
        <w:t xml:space="preserve">.</w:t>
      </w:r>
      <w:r>
        <w:t xml:space="preserve"> </w:t>
      </w:r>
      <w:r>
        <w:rPr>
          <w:bCs/>
          <w:b/>
        </w:rPr>
        <w:t xml:space="preserve">No order execution</w:t>
      </w:r>
      <w:r>
        <w:t xml:space="preserve"> </w:t>
      </w:r>
      <w:r>
        <w:t xml:space="preserve">is introduced here — this is deliberately the read/registry foundation; execution reuses the existing gated executor modules in a later PR. Covered by</w:t>
      </w:r>
      <w:r>
        <w:t xml:space="preserve"> </w:t>
      </w:r>
      <w:r>
        <w:rPr>
          <w:rStyle w:val="VerbatimChar"/>
        </w:rPr>
        <w:t xml:space="preserve">backend/tests/test_accounts_registry.py</w:t>
      </w:r>
      <w:r>
        <w:t xml:space="preserve"> </w:t>
      </w:r>
      <w:r>
        <w:t xml:space="preserve">(22 tests: registration rules, uniqueness, strategy caps/allocation, compliance math, daily-loss/drawdown/trailing-drawdown breaches, trading-day counting, suspend/activate, persistence across re-init, and the wired API surface). Full suite green: 4267 passed, 0 failed (4245 + 22 new).</w:t>
      </w:r>
    </w:p>
    <w:p>
      <w:pPr>
        <w:pStyle w:val="BodyText"/>
      </w:pPr>
      <w:r>
        <w:rPr>
          <w:bCs/>
          <w:b/>
        </w:rPr>
        <w:t xml:space="preserve">New capability (2026-08-30) — MT5→Accounts state sync bridge:</w:t>
      </w:r>
      <w:r>
        <w:t xml:space="preserve"> </w:t>
      </w:r>
      <w:r>
        <w:rPr>
          <w:rStyle w:val="VerbatimChar"/>
        </w:rPr>
        <w:t xml:space="preserve">backend/app/account_state_sync/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/v1/account-state-sync</w:t>
      </w:r>
      <w:r>
        <w:t xml:space="preserve">. Bridges the read-only MT5 bridge (</w:t>
      </w:r>
      <w:r>
        <w:rPr>
          <w:rStyle w:val="VerbatimChar"/>
        </w:rPr>
        <w:t xml:space="preserve">/v1/mt5</w:t>
      </w:r>
      <w:r>
        <w:t xml:space="preserve">, which stores inbound snapshots from Windows/VPS MT5 terminals) and the persistent accounts registry (</w:t>
      </w:r>
      <w:r>
        <w:rPr>
          <w:rStyle w:val="VerbatimChar"/>
        </w:rPr>
        <w:t xml:space="preserve">/v1/accounts</w:t>
      </w:r>
      <w:r>
        <w:t xml:space="preserve">). On-demand sync finds each registered account’s MT5 terminal by exact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 </w:t>
      </w:r>
      <w:r>
        <w:t xml:space="preserve">match, extracts the live broker snapshot (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equity</w:t>
      </w:r>
      <w:r>
        <w:t xml:space="preserve">), and pushes it into the registry via</w:t>
      </w:r>
      <w:r>
        <w:t xml:space="preserve"> </w:t>
      </w:r>
      <w:r>
        <w:rPr>
          <w:rStyle w:val="VerbatimChar"/>
        </w:rPr>
        <w:t xml:space="preserve">POST /v1/accounts/{id}/state</w:t>
      </w:r>
      <w:r>
        <w:t xml:space="preserve"> </w:t>
      </w:r>
      <w:r>
        <w:t xml:space="preserve">where compliance checks and breach-detection run automatically. Syncs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accounts by default; the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t xml:space="preserve">flag includes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/</w:t>
      </w:r>
      <w:r>
        <w:rPr>
          <w:rStyle w:val="VerbatimChar"/>
        </w:rPr>
        <w:t xml:space="preserve">breached</w:t>
      </w:r>
      <w:r>
        <w:t xml:space="preserve"> </w:t>
      </w:r>
      <w:r>
        <w:t xml:space="preserve">for manual recovery flows. The</w:t>
      </w:r>
      <w:r>
        <w:t xml:space="preserve"> </w:t>
      </w:r>
      <w:r>
        <w:rPr>
          <w:rStyle w:val="VerbatimChar"/>
        </w:rPr>
        <w:t xml:space="preserve">account_ids</w:t>
      </w:r>
      <w:r>
        <w:t xml:space="preserve"> </w:t>
      </w:r>
      <w:r>
        <w:t xml:space="preserve">filter syncs a specific subset. Real-world flow: Windows/VPS runs</w:t>
      </w:r>
      <w:r>
        <w:t xml:space="preserve"> </w:t>
      </w:r>
      <w:r>
        <w:rPr>
          <w:rStyle w:val="VerbatimChar"/>
        </w:rPr>
        <w:t xml:space="preserve">mt5_bridge_client.py</w:t>
      </w:r>
      <w:r>
        <w:t xml:space="preserve"> </w:t>
      </w:r>
      <w:r>
        <w:t xml:space="preserve">→ pushes snapshots to</w:t>
      </w:r>
      <w:r>
        <w:t xml:space="preserve"> </w:t>
      </w:r>
      <w:r>
        <w:rPr>
          <w:rStyle w:val="VerbatimChar"/>
        </w:rPr>
        <w:t xml:space="preserve">/v1/mt5/terminals/{id}/snapshot</w:t>
      </w:r>
      <w:r>
        <w:t xml:space="preserve"> </w:t>
      </w:r>
      <w:r>
        <w:t xml:space="preserve">every 5s → operator or scheduler calls</w:t>
      </w:r>
      <w:r>
        <w:t xml:space="preserve"> </w:t>
      </w:r>
      <w:r>
        <w:rPr>
          <w:rStyle w:val="VerbatimChar"/>
        </w:rPr>
        <w:t xml:space="preserve">POST /v1/account-state-sync/sync</w:t>
      </w:r>
      <w:r>
        <w:t xml:space="preserve"> </w:t>
      </w:r>
      <w:r>
        <w:t xml:space="preserve">→ accounts registry sees live broker state and flags breaches without any manual intervention. Endpoints:</w:t>
      </w:r>
      <w:r>
        <w:t xml:space="preserve"> </w:t>
      </w:r>
      <w:r>
        <w:rPr>
          <w:rStyle w:val="VerbatimChar"/>
        </w:rPr>
        <w:t xml:space="preserve">GET /v1/account-state-sync/status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/v1/account-state-sync/sync</w:t>
      </w:r>
      <w:r>
        <w:t xml:space="preserve">. Covered by</w:t>
      </w:r>
      <w:r>
        <w:t xml:space="preserve"> </w:t>
      </w:r>
      <w:r>
        <w:rPr>
          <w:rStyle w:val="VerbatimChar"/>
        </w:rPr>
        <w:t xml:space="preserve">backend/tests/test_account_state_sync.py</w:t>
      </w:r>
      <w:r>
        <w:t xml:space="preserve"> </w:t>
      </w:r>
      <w:r>
        <w:t xml:space="preserve">(18 tests: matching/non-matching terminals, breach detection during sync, filtering by account_ids, force flag, multi-account sync, status tracking, API surface). Full suite green: 4285 passed, 0 failed (4267 + 18 new). This closes the live-observability loop — AURON now sees real broker account states and can auto-detect prop-firm rule breaches.</w:t>
      </w:r>
    </w:p>
    <w:p>
      <w:pPr>
        <w:pStyle w:val="BodyText"/>
      </w:pPr>
      <w:r>
        <w:rPr>
          <w:bCs/>
          <w:b/>
        </w:rPr>
        <w:t xml:space="preserve">New capability (2026-08-30) — Trading strategies infrastructure + scalping_3tp implementation:</w:t>
      </w:r>
      <w:r>
        <w:t xml:space="preserve"> </w:t>
      </w:r>
      <w:r>
        <w:rPr>
          <w:rStyle w:val="VerbatimChar"/>
        </w:rPr>
        <w:t xml:space="preserve">backend/app/strategies/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/v1/strategies</w:t>
      </w:r>
      <w:r>
        <w:t xml:space="preserve">. This is the</w:t>
      </w:r>
      <w:r>
        <w:t xml:space="preserve"> </w:t>
      </w:r>
      <w:r>
        <w:rPr>
          <w:bCs/>
          <w:b/>
        </w:rPr>
        <w:t xml:space="preserve">trading brain</w:t>
      </w:r>
      <w:r>
        <w:t xml:space="preserve"> </w:t>
      </w:r>
      <w:r>
        <w:t xml:space="preserve">— ICT/SMC-based entry logic with multi-TP exits. Each strategy receives a</w:t>
      </w:r>
      <w:r>
        <w:t xml:space="preserve"> </w:t>
      </w:r>
      <w:r>
        <w:rPr>
          <w:rStyle w:val="VerbatimChar"/>
        </w:rPr>
        <w:t xml:space="preserve">MarketSnapshot</w:t>
      </w:r>
      <w:r>
        <w:t xml:space="preserve"> </w:t>
      </w:r>
      <w:r>
        <w:t xml:space="preserve">(current price, HTF bias, Fair Value Gaps, Order Blocks, structure levels, session) and returns either a</w:t>
      </w:r>
      <w:r>
        <w:t xml:space="preserve"> </w:t>
      </w:r>
      <w:r>
        <w:rPr>
          <w:rStyle w:val="VerbatimChar"/>
        </w:rPr>
        <w:t xml:space="preserve">TradingSetup</w:t>
      </w:r>
      <w:r>
        <w:t xml:space="preserve"> </w:t>
      </w:r>
      <w:r>
        <w:t xml:space="preserve">(entry, stop-loss, 3 TPs with partial-close percentages, risk-reward ratio, confidence score, reasoning) or a clear reason why no setup was generated.</w:t>
      </w:r>
      <w:r>
        <w:t xml:space="preserve"> </w:t>
      </w:r>
      <w:r>
        <w:rPr>
          <w:bCs/>
          <w:b/>
        </w:rPr>
        <w:t xml:space="preserve">Implemented strategies:</w:t>
      </w:r>
      <w:r>
        <w:t xml:space="preserve"> </w:t>
      </w:r>
      <w:r>
        <w:rPr>
          <w:rStyle w:val="VerbatimChar"/>
        </w:rPr>
        <w:t xml:space="preserve">scalping_3tp</w:t>
      </w:r>
      <w:r>
        <w:t xml:space="preserve"> </w:t>
      </w:r>
      <w:r>
        <w:t xml:space="preserve">— FVG + Order Block mitigation with 3 TPs at 30%/50%/100% RR, min 1:2 RR. Entry logic: Long requires HTF bullish + price mitigating bullish Order Block + bullish FVG; Short requires HTF bearish + price mitigating bearish Order Block + bearish FVG. SL placed below/above Order Block with 0.05% buffer. TPs calculated at 30%, 50%, and 100% of the risk-reward distance. Confidence score starts at 60% and increases 10% per RR point. Setup invalidated if SL is hit (structure break).</w:t>
      </w:r>
      <w:r>
        <w:t xml:space="preserve"> </w:t>
      </w:r>
      <w:r>
        <w:rPr>
          <w:bCs/>
          <w:b/>
        </w:rPr>
        <w:t xml:space="preserve">Future strategies</w:t>
      </w:r>
      <w:r>
        <w:t xml:space="preserve"> </w:t>
      </w:r>
      <w:r>
        <w:t xml:space="preserve">(</w:t>
      </w:r>
      <w:r>
        <w:rPr>
          <w:rStyle w:val="VerbatimChar"/>
        </w:rPr>
        <w:t xml:space="preserve">ict</w:t>
      </w:r>
      <w:r>
        <w:t xml:space="preserve">,</w:t>
      </w:r>
      <w:r>
        <w:t xml:space="preserve"> </w:t>
      </w:r>
      <w:r>
        <w:rPr>
          <w:rStyle w:val="VerbatimChar"/>
        </w:rPr>
        <w:t xml:space="preserve">smc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open_range</w:t>
      </w:r>
      <w:r>
        <w:t xml:space="preserve">) follow the same pattern and will be added to the registry incrementally. Service layer (</w:t>
      </w:r>
      <w:r>
        <w:rPr>
          <w:rStyle w:val="VerbatimChar"/>
        </w:rPr>
        <w:t xml:space="preserve">strategies/service.py</w:t>
      </w:r>
      <w:r>
        <w:t xml:space="preserve">) maintains a registry of all strategies with metadata (id, name, description, evaluate function) and provides methods to evaluate a single strategy, all strategies, or filter to only valid setups. Endpoints:</w:t>
      </w:r>
      <w:r>
        <w:t xml:space="preserve"> </w:t>
      </w:r>
      <w:r>
        <w:rPr>
          <w:rStyle w:val="VerbatimChar"/>
        </w:rPr>
        <w:t xml:space="preserve">GET /v1/strategies/</w:t>
      </w:r>
      <w:r>
        <w:t xml:space="preserve"> </w:t>
      </w:r>
      <w:r>
        <w:t xml:space="preserve">(list all),</w:t>
      </w:r>
      <w:r>
        <w:t xml:space="preserve"> </w:t>
      </w:r>
      <w:r>
        <w:rPr>
          <w:rStyle w:val="VerbatimChar"/>
        </w:rPr>
        <w:t xml:space="preserve">POST /v1/strategies/evaluate/{strategy_id}</w:t>
      </w:r>
      <w:r>
        <w:t xml:space="preserve"> </w:t>
      </w:r>
      <w:r>
        <w:t xml:space="preserve">(evaluate one),</w:t>
      </w:r>
      <w:r>
        <w:t xml:space="preserve"> </w:t>
      </w:r>
      <w:r>
        <w:rPr>
          <w:rStyle w:val="VerbatimChar"/>
        </w:rPr>
        <w:t xml:space="preserve">POST /v1/strategies/evaluate-all</w:t>
      </w:r>
      <w:r>
        <w:t xml:space="preserve"> </w:t>
      </w:r>
      <w:r>
        <w:t xml:space="preserve">(evaluate all, including no-setups),</w:t>
      </w:r>
      <w:r>
        <w:t xml:space="preserve"> </w:t>
      </w:r>
      <w:r>
        <w:rPr>
          <w:rStyle w:val="VerbatimChar"/>
        </w:rPr>
        <w:t xml:space="preserve">POST /v1/strategies/find-setups</w:t>
      </w:r>
      <w:r>
        <w:t xml:space="preserve"> </w:t>
      </w:r>
      <w:r>
        <w:t xml:space="preserve">(filter to only valid setups). Covered by</w:t>
      </w:r>
      <w:r>
        <w:t xml:space="preserve"> </w:t>
      </w:r>
      <w:r>
        <w:rPr>
          <w:rStyle w:val="VerbatimChar"/>
        </w:rPr>
        <w:t xml:space="preserve">backend/tests/test_strategy_scalping_3tp.py</w:t>
      </w:r>
      <w:r>
        <w:t xml:space="preserve"> </w:t>
      </w:r>
      <w:r>
        <w:t xml:space="preserve">(15 tests: valid long/short setups, SL placement, TP calculation, confidence scoring, no-setup scenarios for neutral HTF/missing OB/missing FVG/wrong direction/price not mitigating/already mitigated structures, minimum RR enforcement, result model consistency) and</w:t>
      </w:r>
      <w:r>
        <w:t xml:space="preserve"> </w:t>
      </w:r>
      <w:r>
        <w:rPr>
          <w:rStyle w:val="VerbatimChar"/>
        </w:rPr>
        <w:t xml:space="preserve">backend/tests/test_strategies_api.py</w:t>
      </w:r>
      <w:r>
        <w:t xml:space="preserve"> </w:t>
      </w:r>
      <w:r>
        <w:t xml:space="preserve">(16 tests: list strategies, evaluate single strategy with valid long/short/no-setup/unknown strategy/invalid snapshot, evaluate-all including no-setups, find-setups filtering, service layer unit tests). Full suite green: 4316 passed, 0 failed (4285 + 31 new). This is the</w:t>
      </w:r>
      <w:r>
        <w:t xml:space="preserve"> </w:t>
      </w:r>
      <w:r>
        <w:rPr>
          <w:bCs/>
          <w:b/>
        </w:rPr>
        <w:t xml:space="preserve">first real trading logic</w:t>
      </w:r>
      <w:r>
        <w:t xml:space="preserve"> </w:t>
      </w:r>
      <w:r>
        <w:t xml:space="preserve">— strategies generate actionable setups with precise entry/SL/TP levels.</w:t>
      </w:r>
      <w:r>
        <w:t xml:space="preserve"> </w:t>
      </w:r>
      <w:r>
        <w:rPr>
          <w:bCs/>
          <w:b/>
        </w:rPr>
        <w:t xml:space="preserve">No execution yet</w:t>
      </w:r>
      <w:r>
        <w:t xml:space="preserve"> </w:t>
      </w:r>
      <w:r>
        <w:t xml:space="preserve">— that comes in the next PR where we wire strategy assignments + account compliance + the existing approval-gated MT5 executor.</w:t>
      </w:r>
    </w:p>
    <w:bookmarkEnd w:id="25"/>
    <w:bookmarkEnd w:id="26"/>
    <w:bookmarkStart w:id="27" w:name="X2cc68d3398c76c14fe74e8ecbb77d6979dffbec"/>
    <w:p>
      <w:pPr>
        <w:pStyle w:val="Heading2"/>
      </w:pPr>
      <w:r>
        <w:t xml:space="preserve">6. Cross-vertical Command Centre requirements</w:t>
      </w:r>
    </w:p>
    <w:p>
      <w:pPr>
        <w:pStyle w:val="FirstParagraph"/>
      </w:pPr>
      <w:r>
        <w:t xml:space="preserve">Persistent command/text interaction, capability health, simulation/execution visibility, approvals, execution timeline/failures, dedicated vertical workspaces, kill switches and audit/evidence access remain mandatory.</w:t>
      </w:r>
    </w:p>
    <w:bookmarkEnd w:id="27"/>
    <w:bookmarkStart w:id="28" w:name="definition-of-usable"/>
    <w:p>
      <w:pPr>
        <w:pStyle w:val="Heading2"/>
      </w:pPr>
      <w:r>
        <w:t xml:space="preserve">7. Definition of usable</w:t>
      </w:r>
    </w:p>
    <w:p>
      <w:pPr>
        <w:pStyle w:val="FirstParagraph"/>
      </w:pPr>
      <w:r>
        <w:t xml:space="preserve">A vertical requires observable provider health, persistent state, policy before outbound action, idempotency/reconciliation, visible results, disable controls, failure/replay tests and deliberate external enablement.</w:t>
      </w:r>
    </w:p>
    <w:bookmarkEnd w:id="28"/>
    <w:bookmarkStart w:id="29" w:name="pr-discipline"/>
    <w:p>
      <w:pPr>
        <w:pStyle w:val="Heading2"/>
      </w:pPr>
      <w:r>
        <w:t xml:space="preserve">8. PR discipline</w:t>
      </w:r>
    </w:p>
    <w:p>
      <w:pPr>
        <w:pStyle w:val="FirstParagraph"/>
      </w:pPr>
      <w:r>
        <w:t xml:space="preserve">One coherent layer per PR, with tests, dependencies and next layer documented. Verify merge before advancing.</w:t>
      </w:r>
    </w:p>
    <w:bookmarkEnd w:id="29"/>
    <w:bookmarkStart w:id="30" w:name="current-checkpoint"/>
    <w:p>
      <w:pPr>
        <w:pStyle w:val="Heading2"/>
      </w:pPr>
      <w:r>
        <w:t xml:space="preserve">9. Current checkpoint</w:t>
      </w:r>
    </w:p>
    <w:p>
      <w:pPr>
        <w:numPr>
          <w:ilvl w:val="0"/>
          <w:numId w:val="1003"/>
        </w:numPr>
        <w:pStyle w:val="Compact"/>
      </w:pPr>
      <w:r>
        <w:t xml:space="preserve">Foundation through v21.523 and Phase A A1-A6: complete.</w:t>
      </w:r>
    </w:p>
    <w:p>
      <w:pPr>
        <w:numPr>
          <w:ilvl w:val="0"/>
          <w:numId w:val="1003"/>
        </w:numPr>
        <w:pStyle w:val="Compact"/>
      </w:pPr>
      <w:r>
        <w:t xml:space="preserve">Trading B1-B10, Instagram C1-C8 and Phase D vertical architecture: complete with consequential provider execution gated.</w:t>
      </w:r>
    </w:p>
    <w:p>
      <w:pPr>
        <w:numPr>
          <w:ilvl w:val="0"/>
          <w:numId w:val="1003"/>
        </w:numPr>
        <w:pStyle w:val="Compact"/>
      </w:pPr>
      <w:r>
        <w:t xml:space="preserve">Phase E E1-E4, Phase F F1-F4 and Phase G through G21: complete.</w:t>
      </w:r>
    </w:p>
    <w:p>
      <w:pPr>
        <w:numPr>
          <w:ilvl w:val="0"/>
          <w:numId w:val="1003"/>
        </w:numPr>
        <w:pStyle w:val="Compact"/>
      </w:pPr>
      <w:r>
        <w:t xml:space="preserve">H1-H20 complete: Research provider path is contract-bound, reconciled, certified through one bounded transport-disabled session and zero-concrete-transport injection contract.</w:t>
      </w:r>
    </w:p>
    <w:p>
      <w:pPr>
        <w:numPr>
          <w:ilvl w:val="0"/>
          <w:numId w:val="1003"/>
        </w:numPr>
        <w:pStyle w:val="Compact"/>
      </w:pPr>
      <w:r>
        <w:t xml:space="preserve">H21-H31 complete: governed transport activation, authorization, binding, injection design/certification and exactly one inert read-only transport object are established and certified with network execution disabled.</w:t>
      </w:r>
    </w:p>
    <w:p>
      <w:pPr>
        <w:numPr>
          <w:ilvl w:val="0"/>
          <w:numId w:val="1003"/>
        </w:numPr>
        <w:pStyle w:val="Compact"/>
      </w:pPr>
      <w:r>
        <w:t xml:space="preserve">H32-H35 complete: one short-lived operator-bound revocable one-shot network-execution authorization is designed, certified, issued and certified again against exact transport/object/identity scope while provider traffic remains disabled.</w:t>
      </w:r>
    </w:p>
    <w:p>
      <w:pPr>
        <w:numPr>
          <w:ilvl w:val="0"/>
          <w:numId w:val="1003"/>
        </w:numPr>
        <w:pStyle w:val="Compact"/>
      </w:pPr>
      <w:r>
        <w:t xml:space="preserve">H36-H37 complete: the fail-closed exactly-once consumption boundary is designed and certified with expiry/revocation/read-only scope and zero network state.</w:t>
      </w:r>
    </w:p>
    <w:p>
      <w:pPr>
        <w:numPr>
          <w:ilvl w:val="0"/>
          <w:numId w:val="1003"/>
        </w:numPr>
        <w:pStyle w:val="Compact"/>
      </w:pPr>
      <w:r>
        <w:t xml:space="preserve">H21-H40 (32 research modules + 32 paired core modules + tests) removed: confirmed disconnected from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and from each other’s non-test callers, tested only against a non-existent sandbox domain, and never capable of a real network call. Removal verified against the full test suite (4694 passed, 0 failed).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Research provider path is now real and wired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 </w:t>
      </w:r>
      <w:r>
        <w:t xml:space="preserve">performs an actual bounded HTTPS GET against an explicit domain allowlist, with timeout, response-size limit, exactly-once request handling and an append-only audit log. This supersedes the H21-H40 design chain.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Dead-code reconciliation (2026-08-30):</w:t>
      </w:r>
      <w:r>
        <w:t xml:space="preserve"> </w:t>
      </w:r>
      <w:r>
        <w:t xml:space="preserve">19 unreachable</w:t>
      </w:r>
      <w:r>
        <w:t xml:space="preserve"> </w:t>
      </w:r>
      <w:r>
        <w:rPr>
          <w:rStyle w:val="VerbatimChar"/>
        </w:rPr>
        <w:t xml:space="preserve">backend/app/research/auron_research_*</w:t>
      </w:r>
      <w:r>
        <w:t xml:space="preserve"> </w:t>
      </w:r>
      <w:r>
        <w:t xml:space="preserve">modules that the roadmap had already described as removed but were still on disk, plus their 19 paired</w:t>
      </w:r>
      <w:r>
        <w:t xml:space="preserve"> </w:t>
      </w:r>
      <w:r>
        <w:rPr>
          <w:rStyle w:val="VerbatimChar"/>
        </w:rPr>
        <w:t xml:space="preserve">backend/tests/test_auron_research_*</w:t>
      </w:r>
      <w:r>
        <w:t xml:space="preserve"> </w:t>
      </w:r>
      <w:r>
        <w:t xml:space="preserve">files, have now been physically deleted (branch</w:t>
      </w:r>
      <w:r>
        <w:t xml:space="preserve"> </w:t>
      </w:r>
      <w:r>
        <w:rPr>
          <w:rStyle w:val="VerbatimChar"/>
        </w:rPr>
        <w:t xml:space="preserve">chore/remove-dead-auron-research-modules</w:t>
      </w:r>
      <w:r>
        <w:t xml:space="preserve">). Verified unreachable via an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; no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touched. Full suite green: 4515 passed, 0 failed (down from 4615 as the 100 tests of the removed cluster were deleted).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Multi-vertical dead-code reconciliation (2026-08-30):</w:t>
      </w:r>
      <w:r>
        <w:t xml:space="preserve"> </w:t>
      </w:r>
      <w:r>
        <w:t xml:space="preserve">A comprehensive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identified 47 additional unreachable</w:t>
      </w:r>
      <w:r>
        <w:t xml:space="preserve"> </w:t>
      </w:r>
      <w:r>
        <w:rPr>
          <w:rStyle w:val="VerbatimChar"/>
        </w:rPr>
        <w:t xml:space="preserve">auron_*</w:t>
      </w:r>
      <w:r>
        <w:t xml:space="preserve"> </w:t>
      </w:r>
      <w:r>
        <w:t xml:space="preserve">modules across multiple verticals (8 automation, 11 communications, 3 content/instagram, 14 core, 11 documents), all confirmed disconnected from the live application. These modules, plus their 47 paired test files (94 files total), have been physically deleted (branch</w:t>
      </w:r>
      <w:r>
        <w:t xml:space="preserve"> </w:t>
      </w:r>
      <w:r>
        <w:rPr>
          <w:rStyle w:val="VerbatimChar"/>
        </w:rPr>
        <w:t xml:space="preserve">chore/remove-dead-auron-modules-multi-vertical</w:t>
      </w:r>
      <w:r>
        <w:t xml:space="preserve">). No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touched — the sequential readiness chain remains intact. Full suite green: 4245 passed, 0 failed (down from 4515 as 270 tests of the removed clusters were deleted).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Trading Accounts &amp; Strategy Assignment registry is now real and wired (2026-08-30):</w:t>
      </w:r>
      <w:r>
        <w:t xml:space="preserve"> </w:t>
      </w:r>
      <w:r>
        <w:rPr>
          <w:rStyle w:val="VerbatimChar"/>
        </w:rPr>
        <w:t xml:space="preserve">backend/app/accounts/</w:t>
      </w:r>
      <w:r>
        <w:t xml:space="preserve"> </w:t>
      </w:r>
      <w:r>
        <w:t xml:space="preserve">at prefix</w:t>
      </w:r>
      <w:r>
        <w:t xml:space="preserve"> </w:t>
      </w:r>
      <w:r>
        <w:rPr>
          <w:rStyle w:val="VerbatimChar"/>
        </w:rPr>
        <w:t xml:space="preserve">/v1/accounts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feat/trading-accounts-registry</w:t>
      </w:r>
      <w:r>
        <w:t xml:space="preserve">) — the first persistent registry of the prop/live/demo accounts AURON manages and the (1-2) strategies assigned to each, with prop-firm rule enforcement, sqlite persistence, an append-only audit trail, and live compliance/breach computation. Read/registry foundation only; no order execution. Full suite green: 4267 passed, 0 failed (4245 + 22 new). This is the concrete first step toward the account-management vision and precedes any execution wiring.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MT5→Accounts state sync bridge is now real and wired (2026-08-30):</w:t>
      </w:r>
      <w:r>
        <w:t xml:space="preserve"> </w:t>
      </w:r>
      <w:r>
        <w:rPr>
          <w:rStyle w:val="VerbatimChar"/>
        </w:rPr>
        <w:t xml:space="preserve">backend/app/account_state_sync/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/v1/account-state-sync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feat/account-state-sync</w:t>
      </w:r>
      <w:r>
        <w:t xml:space="preserve">) — bridges the read-only MT5 bridge and the accounts registry. Matches each registered account to its MT5 terminal by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, extracts live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/</w:t>
      </w:r>
      <w:r>
        <w:rPr>
          <w:rStyle w:val="VerbatimChar"/>
        </w:rPr>
        <w:t xml:space="preserve">equity</w:t>
      </w:r>
      <w:r>
        <w:t xml:space="preserve"> </w:t>
      </w:r>
      <w:r>
        <w:t xml:space="preserve">snapshots, pushes into the registry where compliance/breach-detection runs automatically. The live-observability loop is now closed: Windows/VPS → MT5 bridge → state-sync → accounts registry sees real broker state and auto-flags prop-firm breaches. Full suite green: 4285 passed, 0 failed (4267 + 18 new).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Trading strategies infrastructure + scalping_3tp is now real and wired (2026-08-30):</w:t>
      </w:r>
      <w:r>
        <w:t xml:space="preserve"> </w:t>
      </w:r>
      <w:r>
        <w:rPr>
          <w:rStyle w:val="VerbatimChar"/>
        </w:rPr>
        <w:t xml:space="preserve">backend/app/strategies/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/v1/strategies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feat/trading-strategies</w:t>
      </w:r>
      <w:r>
        <w:t xml:space="preserve">) — the first</w:t>
      </w:r>
      <w:r>
        <w:t xml:space="preserve"> </w:t>
      </w:r>
      <w:r>
        <w:rPr>
          <w:bCs/>
          <w:b/>
        </w:rPr>
        <w:t xml:space="preserve">trading brain</w:t>
      </w:r>
      <w:r>
        <w:t xml:space="preserve"> </w:t>
      </w:r>
      <w:r>
        <w:t xml:space="preserve">with ICT/SMC-based entry logic. Strategy registry pattern (same as accounts): each strategy evaluates a</w:t>
      </w:r>
      <w:r>
        <w:t xml:space="preserve"> </w:t>
      </w:r>
      <w:r>
        <w:rPr>
          <w:rStyle w:val="VerbatimChar"/>
        </w:rPr>
        <w:t xml:space="preserve">MarketSnapshot</w:t>
      </w:r>
      <w:r>
        <w:t xml:space="preserve"> </w:t>
      </w:r>
      <w:r>
        <w:t xml:space="preserve">→ returns</w:t>
      </w:r>
      <w:r>
        <w:t xml:space="preserve"> </w:t>
      </w:r>
      <w:r>
        <w:rPr>
          <w:rStyle w:val="VerbatimChar"/>
        </w:rPr>
        <w:t xml:space="preserve">TradingSetup</w:t>
      </w:r>
      <w:r>
        <w:t xml:space="preserve"> </w:t>
      </w:r>
      <w:r>
        <w:t xml:space="preserve">(entry, SL, 3 TPs, RR, confidence) or a clear no-setup reason.</w:t>
      </w:r>
      <w:r>
        <w:t xml:space="preserve"> </w:t>
      </w:r>
      <w:r>
        <w:rPr>
          <w:rStyle w:val="VerbatimChar"/>
        </w:rPr>
        <w:t xml:space="preserve">scalping_3tp</w:t>
      </w:r>
      <w:r>
        <w:t xml:space="preserve"> </w:t>
      </w:r>
      <w:r>
        <w:t xml:space="preserve">implemented: FVG + Order Block mitigation, 3 TPs at 30%/50%/100% RR, min 1:2 RR. Service layer manages the strategy registry and provides evaluate-one / evaluate-all / find-setups methods. API exposes list/evaluate/evaluate-all/find-setups endpoints. Full suite green: 4316 passed, 0 failed (4285 + 31 new).</w:t>
      </w:r>
      <w:r>
        <w:t xml:space="preserve"> </w:t>
      </w:r>
      <w:r>
        <w:rPr>
          <w:bCs/>
          <w:b/>
        </w:rPr>
        <w:t xml:space="preserve">This is the first real trading logic</w:t>
      </w:r>
      <w:r>
        <w:t xml:space="preserve"> </w:t>
      </w:r>
      <w:r>
        <w:t xml:space="preserve">— strategies generate actionable setups with precise entry/SL/TP levels.</w:t>
      </w:r>
    </w:p>
    <w:p>
      <w:pPr>
        <w:numPr>
          <w:ilvl w:val="0"/>
          <w:numId w:val="1003"/>
        </w:numPr>
        <w:pStyle w:val="Compact"/>
      </w:pPr>
      <w:r>
        <w:t xml:space="preserve">Next: add</w:t>
      </w:r>
      <w:r>
        <w:t xml:space="preserve"> </w:t>
      </w:r>
      <w:r>
        <w:rPr>
          <w:rStyle w:val="VerbatimChar"/>
        </w:rPr>
        <w:t xml:space="preserve">ict</w:t>
      </w:r>
      <w:r>
        <w:t xml:space="preserve">,</w:t>
      </w:r>
      <w:r>
        <w:t xml:space="preserve"> </w:t>
      </w:r>
      <w:r>
        <w:rPr>
          <w:rStyle w:val="VerbatimChar"/>
        </w:rPr>
        <w:t xml:space="preserve">smc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open_range</w:t>
      </w:r>
      <w:r>
        <w:t xml:space="preserve"> </w:t>
      </w:r>
      <w:r>
        <w:t xml:space="preserve">strategies to the registry (same pattern as</w:t>
      </w:r>
      <w:r>
        <w:t xml:space="preserve"> </w:t>
      </w:r>
      <w:r>
        <w:rPr>
          <w:rStyle w:val="VerbatimChar"/>
        </w:rPr>
        <w:t xml:space="preserve">scalping_3tp</w:t>
      </w:r>
      <w:r>
        <w:t xml:space="preserve">), then in a later gated PR wire strategy assignments + account compliance + the existing approval-gated MT5 executor to enable the full trade flow (strategy generates setup → compliance check → approval gate → executor places order). Continue extending the Research allowlist deliberately as real needs arise; consider real wiring for Instagram, Communications, Automation, and Documents verticals following the Research pattern (one real endpoint, explicit safety boundaries, audit log).</w:t>
      </w:r>
    </w:p>
    <w:p>
      <w:pPr>
        <w:pStyle w:val="FirstParagraph"/>
      </w:pPr>
      <w:r>
        <w:t xml:space="preserve">This checkpoint must be updated at each phase boundary or major activation milestone.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2026-08-30T21:52:10Z</dcterms:created>
  <dcterms:modified xsi:type="dcterms:W3CDTF">2026-08-30T21:52:10Z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