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D6A65" w14:textId="1724C9DF" w:rsidR="2D173772" w:rsidRDefault="2D17377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Introduction</w:t>
      </w:r>
    </w:p>
    <w:p w14:paraId="52126AFF" w14:textId="77660F43"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goal of this analysis aims to support strategic decision-making through customer analytics.</w:t>
      </w:r>
    </w:p>
    <w:p w14:paraId="7C8F8FCB" w14:textId="34092AA7" w:rsidR="66FB5AB6" w:rsidRDefault="66FB5AB6" w:rsidP="5B2CC643">
      <w:pPr>
        <w:spacing w:after="0" w:line="360" w:lineRule="auto"/>
        <w:rPr>
          <w:rFonts w:ascii="Times New Roman" w:eastAsia="Times New Roman" w:hAnsi="Times New Roman" w:cs="Times New Roman"/>
          <w:b/>
          <w:bCs/>
          <w:lang w:val="en-GB"/>
        </w:rPr>
      </w:pPr>
    </w:p>
    <w:p w14:paraId="5DA1D0ED" w14:textId="18B15354"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b/>
          <w:bCs/>
          <w:lang w:val="en-GB"/>
        </w:rPr>
        <w:t>Regression:</w:t>
      </w:r>
      <w:r w:rsidRPr="5B2CC643">
        <w:rPr>
          <w:rFonts w:ascii="Times New Roman" w:eastAsia="Times New Roman" w:hAnsi="Times New Roman" w:cs="Times New Roman"/>
          <w:lang w:val="en-GB"/>
        </w:rPr>
        <w:t xml:space="preserve"> Customer lifetime value (CLV)</w:t>
      </w:r>
    </w:p>
    <w:p w14:paraId="0F8E5CF1" w14:textId="04EC6356"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The regression analysis aims to predict how much revenue one customer is expected to generate over time. </w:t>
      </w:r>
    </w:p>
    <w:p w14:paraId="344678C4" w14:textId="2987F21D"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08BD9BAE" w14:textId="0BFC8D97" w:rsidR="4FBA9008" w:rsidRDefault="4FBA9008" w:rsidP="5B2CC643">
      <w:pPr>
        <w:spacing w:after="0" w:line="360" w:lineRule="auto"/>
        <w:rPr>
          <w:rFonts w:ascii="Times New Roman" w:eastAsia="Times New Roman" w:hAnsi="Times New Roman" w:cs="Times New Roman"/>
          <w:lang w:val="en-GB"/>
        </w:rPr>
      </w:pPr>
      <w:r w:rsidRPr="7ED00E02">
        <w:rPr>
          <w:rFonts w:ascii="Times New Roman" w:eastAsia="Times New Roman" w:hAnsi="Times New Roman" w:cs="Times New Roman"/>
          <w:lang w:val="en-GB"/>
        </w:rPr>
        <w:t>R</w:t>
      </w:r>
      <w:r w:rsidR="0DD89007" w:rsidRPr="7ED00E02">
        <w:rPr>
          <w:rFonts w:ascii="Times New Roman" w:eastAsia="Times New Roman" w:hAnsi="Times New Roman" w:cs="Times New Roman"/>
          <w:lang w:val="en-GB"/>
        </w:rPr>
        <w:t>2</w:t>
      </w:r>
      <w:r w:rsidRPr="7ED00E02">
        <w:rPr>
          <w:rFonts w:ascii="Times New Roman" w:eastAsia="Times New Roman" w:hAnsi="Times New Roman" w:cs="Times New Roman"/>
          <w:lang w:val="en-GB"/>
        </w:rPr>
        <w:t xml:space="preserve"> ≈ 0.73</w:t>
      </w:r>
    </w:p>
    <w:p w14:paraId="2C2ACFB5" w14:textId="223535D3"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07B8E330" w14:textId="03B6C8C1"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An R2 value of 0.73 = 73% indicates that the model successfully explains nearly three quarters of the variation in revenue across customers and is to be considered a high value for behavioural purchasing data. The reliability of the model is further confirmed in the error metrics:</w:t>
      </w:r>
    </w:p>
    <w:p w14:paraId="08EA82CB" w14:textId="094D799E"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143F2E75" w14:textId="7A3F65D6"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RMSE = $5,359</w:t>
      </w:r>
    </w:p>
    <w:p w14:paraId="5216E5CA" w14:textId="456A4879"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MAE = $488</w:t>
      </w:r>
    </w:p>
    <w:p w14:paraId="0F6092D2" w14:textId="07005321"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MAPE = 12.56%</w:t>
      </w:r>
    </w:p>
    <w:p w14:paraId="6172D400" w14:textId="3BFD7CB4"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Within 10% = 67%</w:t>
      </w:r>
    </w:p>
    <w:p w14:paraId="2C39E7B1" w14:textId="43AE0F72"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Within 20% = 84.3%</w:t>
      </w:r>
    </w:p>
    <w:p w14:paraId="410CF397" w14:textId="26221573"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0C2AAE1D" w14:textId="1BEDACEF" w:rsidR="4FBA9008" w:rsidRDefault="4FBA9008"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average deviation from the actual customer lifetime value, is only $488, while the RMSE of $5.359 reflects influence of a few extreme spending customers rather than model inaccuracy. The model performs especially well for typical customers, achieving a mean absolute percentage error of just 12.56%. Impressively, 67% of. The models predictions fall within 10% of the true values, and over 84% within 20% of the true values. Therefore, this model is highly effective for forecasting, budgeting, and also identifying high-value customers early.</w:t>
      </w:r>
    </w:p>
    <w:p w14:paraId="018C4A24" w14:textId="5D5F3DBA" w:rsidR="5B2CC643" w:rsidRDefault="5B2CC643" w:rsidP="000A68BA">
      <w:pPr>
        <w:spacing w:after="0" w:line="360" w:lineRule="auto"/>
        <w:rPr>
          <w:rFonts w:ascii="Times New Roman" w:eastAsia="Times New Roman" w:hAnsi="Times New Roman" w:cs="Times New Roman"/>
          <w:lang w:val="en-GB"/>
        </w:rPr>
      </w:pPr>
    </w:p>
    <w:p w14:paraId="1F473583" w14:textId="1921C460" w:rsidR="2D173772" w:rsidRDefault="2D17377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Feature importance plot</w:t>
      </w:r>
    </w:p>
    <w:p w14:paraId="3181A1AA" w14:textId="32E0780A"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This bar chart displays the relative importance of each variable in predicting CLV within the Random Forest model. The takeaway from this model is that nearly 90% of the Random Forest model’s decisions depends on the total quantity of the customers purchases. The indications this gives us is that the purchase volume and frequency matters more than individual product price, or possible overfitting of the model.</w:t>
      </w:r>
    </w:p>
    <w:p w14:paraId="45220C17" w14:textId="7EA8B7F0"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5DE9A3F3" w14:textId="68151098" w:rsidR="2D173772" w:rsidRDefault="2D17377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Residual plot</w:t>
      </w:r>
    </w:p>
    <w:p w14:paraId="62ED7124" w14:textId="1F76307B"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This plot compares the predicted CLV values on the x-axis, with the residuals (prediction errors) on the y-axis, and the red dashed line being perfect predictions. Since there are some extreme outliers, the plot becomes distorted as it seems like most of the predictions are perfect.  </w:t>
      </w:r>
    </w:p>
    <w:p w14:paraId="6FCAAA9F" w14:textId="464ADB73"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48E6CF19" w14:textId="06667A90" w:rsidR="2D173772" w:rsidRDefault="2D17377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 xml:space="preserve">Improvements </w:t>
      </w:r>
    </w:p>
    <w:p w14:paraId="342FFA6A" w14:textId="18A326E9"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Performing log transform on the CLV and segmenting customers.</w:t>
      </w:r>
    </w:p>
    <w:p w14:paraId="44BBFECC" w14:textId="421A0EBD"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6D6E9758" w14:textId="0F769934"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b/>
          <w:bCs/>
          <w:lang w:val="en-GB"/>
        </w:rPr>
        <w:t>Classification:</w:t>
      </w:r>
      <w:r w:rsidRPr="5B2CC643">
        <w:rPr>
          <w:rFonts w:ascii="Times New Roman" w:eastAsia="Times New Roman" w:hAnsi="Times New Roman" w:cs="Times New Roman"/>
          <w:lang w:val="en-GB"/>
        </w:rPr>
        <w:t xml:space="preserve"> Identifying high-value customers based on historical transaction behaviour.</w:t>
      </w:r>
    </w:p>
    <w:p w14:paraId="409C7280" w14:textId="4620BA99"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3E00AAD4" w14:textId="3F48C2E3" w:rsidR="2D173772" w:rsidRDefault="2D17377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Model comparison</w:t>
      </w:r>
    </w:p>
    <w:p w14:paraId="75F8236D" w14:textId="105CF52D" w:rsidR="2D173772"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All the models performed very well using an 80% testing / 20% training split dataset, with an accuracy of &gt; 92%. Margins are tight but XGBoost performed best overall. The Area Under the ROC Curve (AUC) is also near perfect, indicating a very good ability to separate standard and high-value customers, and that there is a clear difference in customer behaviour patterns. The simple logistic regression also performs very well, also indicating a strong and consistent distinction between customer types.</w:t>
      </w:r>
    </w:p>
    <w:p w14:paraId="3A2C0CDB" w14:textId="5A4D7840" w:rsidR="5B2CC643" w:rsidRDefault="2D17377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512FDC08" w14:textId="25AFCC7F"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Classification report for the random forest model:</w:t>
      </w:r>
    </w:p>
    <w:p w14:paraId="76368152" w14:textId="0265AA0A"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Precision: Standard = 0.99, High-value = 0.96</w:t>
      </w:r>
    </w:p>
    <w:p w14:paraId="105B104B" w14:textId="2B6030A8" w:rsidR="686C420E" w:rsidRDefault="686C420E" w:rsidP="5B2CC643">
      <w:pPr>
        <w:pStyle w:val="ListParagraph"/>
        <w:numPr>
          <w:ilvl w:val="0"/>
          <w:numId w:val="1"/>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Indicates very few false positives</w:t>
      </w:r>
    </w:p>
    <w:p w14:paraId="379CA191" w14:textId="3E5B193D"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Recall: Standard = 0.98, High-value = 0.97</w:t>
      </w:r>
    </w:p>
    <w:p w14:paraId="6B0F2D01" w14:textId="3307D3CD" w:rsidR="686C420E" w:rsidRDefault="686C420E" w:rsidP="5B2CC643">
      <w:pPr>
        <w:pStyle w:val="ListParagraph"/>
        <w:numPr>
          <w:ilvl w:val="0"/>
          <w:numId w:val="1"/>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Indicates 97% of actual high value customers were identified</w:t>
      </w:r>
    </w:p>
    <w:p w14:paraId="24A99F53" w14:textId="672507E0"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F1-score: Standard = 0.99, High-value = 0.96</w:t>
      </w:r>
    </w:p>
    <w:p w14:paraId="773146F3" w14:textId="39C550DD" w:rsidR="686C420E" w:rsidRDefault="686C420E" w:rsidP="5B2CC643">
      <w:pPr>
        <w:pStyle w:val="ListParagraph"/>
        <w:numPr>
          <w:ilvl w:val="0"/>
          <w:numId w:val="1"/>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High-value of 96% confirms a balanced and robust model with low bias towards either class</w:t>
      </w:r>
    </w:p>
    <w:p w14:paraId="36735511" w14:textId="47DC96C3" w:rsidR="5B2CC643" w:rsidRDefault="5B2CC643" w:rsidP="5B2CC643">
      <w:pPr>
        <w:spacing w:after="0" w:line="360" w:lineRule="auto"/>
        <w:rPr>
          <w:rFonts w:ascii="Times New Roman" w:eastAsia="Times New Roman" w:hAnsi="Times New Roman" w:cs="Times New Roman"/>
          <w:lang w:val="en-GB"/>
        </w:rPr>
      </w:pPr>
    </w:p>
    <w:p w14:paraId="14BEE9DD" w14:textId="4635A370"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Takeaways:</w:t>
      </w:r>
    </w:p>
    <w:p w14:paraId="49B9CBAD" w14:textId="699DD3E2"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model proves to be highly reliable for practical applications such as targeting premium customers for loyalty programs, prioritizing retention fir upsell campaigns and tailoring communications based on predicted lifetime value. With a &gt;5% misclassification, marketing teams can confidently use this model to guide investment in customer relationship management.</w:t>
      </w:r>
    </w:p>
    <w:p w14:paraId="4B71E1BE" w14:textId="75C2DA72"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2B2B2347" w14:textId="5E0DCF1A" w:rsidR="686C420E" w:rsidRDefault="686C420E"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Confusion Matrix interpretation:</w:t>
      </w:r>
    </w:p>
    <w:p w14:paraId="04F69F14" w14:textId="2F5B183F"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True positives = 278 </w:t>
      </w:r>
    </w:p>
    <w:p w14:paraId="0DD2BFF8" w14:textId="1B4BA2B3"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True negatives = 849</w:t>
      </w:r>
    </w:p>
    <w:p w14:paraId="33924FC3" w14:textId="3CA4B6AA"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False positive = 13</w:t>
      </w:r>
    </w:p>
    <w:p w14:paraId="56C3BB53" w14:textId="5F445EDA"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False negatives = 9</w:t>
      </w:r>
    </w:p>
    <w:p w14:paraId="237AA70C" w14:textId="5EEF170B"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267FB02F" w14:textId="27687014" w:rsidR="686C420E" w:rsidRDefault="686C420E"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Out of 1149 customers, only 22 misclassifications occurred, which is less than 2%. The false negatives are the most concerning value, because this indicates the missed high value customers, however, 9 is not a significant amount. Analysing the results from the confusion matrix, we can state that the business confidently can rely on the model to accurately segment customers for strategic actions with minimal risk of wasted marketing spend or missed opportunities.</w:t>
      </w:r>
    </w:p>
    <w:p w14:paraId="75542076" w14:textId="0927B4A7" w:rsidR="5B2CC643" w:rsidRDefault="5B2CC643" w:rsidP="5B2CC643">
      <w:pPr>
        <w:spacing w:after="0" w:line="360" w:lineRule="auto"/>
        <w:rPr>
          <w:rFonts w:ascii="Times New Roman" w:eastAsia="Times New Roman" w:hAnsi="Times New Roman" w:cs="Times New Roman"/>
          <w:lang w:val="en-GB"/>
        </w:rPr>
      </w:pPr>
    </w:p>
    <w:p w14:paraId="038D727C" w14:textId="096EDE86" w:rsidR="40AE3673" w:rsidRDefault="40AE3673"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Feature importance – High-value classification</w:t>
      </w:r>
      <w:r w:rsidR="2EF51903" w:rsidRPr="5B2CC643">
        <w:rPr>
          <w:rFonts w:ascii="Times New Roman" w:eastAsia="Times New Roman" w:hAnsi="Times New Roman" w:cs="Times New Roman"/>
          <w:b/>
          <w:bCs/>
          <w:lang w:val="en-GB"/>
        </w:rPr>
        <w:t>:</w:t>
      </w:r>
    </w:p>
    <w:p w14:paraId="3DA24E98" w14:textId="67C4A49E" w:rsidR="40AE3673" w:rsidRDefault="40AE3673"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regression analysis indicated that the purchase volume of the customers was more significant than anything else. This feature importance diagram from the forest model confirms just that. However, the random forest model can account for and not neglect the importance of other features such as revenue_per_day and avg_days_between_purchases. However, the technical takeaways here underline that the high-value customers are not necessarily the customers who buy the most expensive products, but rather the customers that buy often and consistently. In addition, the feature customer_lifetime_days being among the top features also means retention efforts directly correlate with higher value.</w:t>
      </w:r>
    </w:p>
    <w:p w14:paraId="5D61DA50" w14:textId="3A0E7BB0"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Unsupervised K-Means Clustering:</w:t>
      </w:r>
    </w:p>
    <w:p w14:paraId="302C48D5" w14:textId="7E984006"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The clustering model performs RFM (Recency, Frequency, Monetary) segmentation and aims to divide customers into distinct behavioural groups. </w:t>
      </w:r>
    </w:p>
    <w:p w14:paraId="343AAC59" w14:textId="35124508"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774803C3" w14:textId="1CA9D130"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Recency = How recently the customer made a purchase (days)</w:t>
      </w:r>
    </w:p>
    <w:p w14:paraId="43EF6FCC" w14:textId="4A631D97"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Frequency = How often the customer makes purchases (orders)</w:t>
      </w:r>
    </w:p>
    <w:p w14:paraId="3FF5D796" w14:textId="75823EED" w:rsidR="0EF43A6F" w:rsidRDefault="0EF43A6F" w:rsidP="5B2CC643">
      <w:pPr>
        <w:spacing w:after="0" w:line="360" w:lineRule="auto"/>
        <w:rPr>
          <w:rFonts w:ascii="Times New Roman" w:eastAsia="Times New Roman" w:hAnsi="Times New Roman" w:cs="Times New Roman"/>
          <w:lang w:val="en-GB"/>
        </w:rPr>
      </w:pPr>
      <w:r w:rsidRPr="05F95E5F">
        <w:rPr>
          <w:rFonts w:ascii="Times New Roman" w:eastAsia="Times New Roman" w:hAnsi="Times New Roman" w:cs="Times New Roman"/>
          <w:lang w:val="en-GB"/>
        </w:rPr>
        <w:t>Monetary = How much the customer spent in total (</w:t>
      </w:r>
      <w:r w:rsidR="7515ED23" w:rsidRPr="05F95E5F">
        <w:rPr>
          <w:rFonts w:ascii="Times New Roman" w:eastAsia="Times New Roman" w:hAnsi="Times New Roman" w:cs="Times New Roman"/>
          <w:lang w:val="en-GB"/>
        </w:rPr>
        <w:t>$</w:t>
      </w:r>
      <w:r w:rsidRPr="05F95E5F">
        <w:rPr>
          <w:rFonts w:ascii="Times New Roman" w:eastAsia="Times New Roman" w:hAnsi="Times New Roman" w:cs="Times New Roman"/>
          <w:lang w:val="en-GB"/>
        </w:rPr>
        <w:t>)</w:t>
      </w:r>
    </w:p>
    <w:p w14:paraId="07349DAF" w14:textId="31C9656A" w:rsidR="5B2CC643" w:rsidRDefault="5B2CC643" w:rsidP="5B2CC643">
      <w:pPr>
        <w:spacing w:after="0" w:line="360" w:lineRule="auto"/>
        <w:rPr>
          <w:rFonts w:ascii="Times New Roman" w:eastAsia="Times New Roman" w:hAnsi="Times New Roman" w:cs="Times New Roman"/>
          <w:lang w:val="en-GB"/>
        </w:rPr>
      </w:pPr>
    </w:p>
    <w:tbl>
      <w:tblPr>
        <w:tblStyle w:val="TableGrid"/>
        <w:tblW w:w="0" w:type="auto"/>
        <w:tblLayout w:type="fixed"/>
        <w:tblLook w:val="04A0" w:firstRow="1" w:lastRow="0" w:firstColumn="1" w:lastColumn="0" w:noHBand="0" w:noVBand="1"/>
      </w:tblPr>
      <w:tblGrid>
        <w:gridCol w:w="1395"/>
        <w:gridCol w:w="945"/>
        <w:gridCol w:w="1045"/>
        <w:gridCol w:w="1126"/>
        <w:gridCol w:w="1126"/>
        <w:gridCol w:w="1126"/>
        <w:gridCol w:w="1126"/>
        <w:gridCol w:w="1126"/>
      </w:tblGrid>
      <w:tr w:rsidR="66FB5AB6" w14:paraId="643E33F1" w14:textId="77777777" w:rsidTr="5B2CC643">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4E336C97" w14:textId="1CE914D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Metric</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tcPr>
          <w:p w14:paraId="3B6A5D8C" w14:textId="1C341A45"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Mean</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50F6467F" w14:textId="41894424"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Std</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7BF2085A" w14:textId="6155C9A3"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Min</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2A9BAF64" w14:textId="6C49CA4E"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25%</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0D741C01" w14:textId="49DAC546"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50%</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0E8EE9FD" w14:textId="146CDA9C"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75%</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5D442AC6" w14:textId="427AA762"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Max</w:t>
            </w:r>
          </w:p>
        </w:tc>
      </w:tr>
      <w:tr w:rsidR="66FB5AB6" w14:paraId="5BACB707" w14:textId="77777777" w:rsidTr="5B2CC643">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22A0CFCB" w14:textId="1FDC5E88"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Recency</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tcPr>
          <w:p w14:paraId="37F748BA" w14:textId="09B10F8D"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200</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21328295" w14:textId="40502C77"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207</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243B65C9" w14:textId="41EE8113"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7314F261" w14:textId="10E98B3C"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26</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31C77241" w14:textId="1D7D65AE"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101</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7FDF7BAD" w14:textId="52C3C0D9"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375</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1098C3F6" w14:textId="1AD3882B"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734</w:t>
            </w:r>
          </w:p>
        </w:tc>
      </w:tr>
      <w:tr w:rsidR="66FB5AB6" w14:paraId="63C2F7B8" w14:textId="77777777" w:rsidTr="5B2CC643">
        <w:trPr>
          <w:trHeight w:val="78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2208DAF7" w14:textId="32BC8188"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Frequency</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tcPr>
          <w:p w14:paraId="67B1F2A0" w14:textId="2AB8BC55"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136</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1604BD85" w14:textId="42B1F97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347</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2BDD00A7" w14:textId="798B0B6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624F99D6" w14:textId="566D8303"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21</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24B25929" w14:textId="26A34456"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53</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5F519ECD" w14:textId="108CA940"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141</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15A7D318" w14:textId="491D2726"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12 563</w:t>
            </w:r>
          </w:p>
        </w:tc>
      </w:tr>
      <w:tr w:rsidR="66FB5AB6" w14:paraId="13D22958" w14:textId="77777777" w:rsidTr="5B2CC643">
        <w:trPr>
          <w:trHeight w:val="300"/>
        </w:trPr>
        <w:tc>
          <w:tcPr>
            <w:tcW w:w="1395" w:type="dxa"/>
            <w:tcBorders>
              <w:top w:val="single" w:sz="8" w:space="0" w:color="auto"/>
              <w:left w:val="single" w:sz="8" w:space="0" w:color="auto"/>
              <w:bottom w:val="single" w:sz="8" w:space="0" w:color="auto"/>
              <w:right w:val="single" w:sz="8" w:space="0" w:color="auto"/>
            </w:tcBorders>
            <w:tcMar>
              <w:left w:w="108" w:type="dxa"/>
              <w:right w:w="108" w:type="dxa"/>
            </w:tcMar>
          </w:tcPr>
          <w:p w14:paraId="7000E75A" w14:textId="02295051"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Monetary</w:t>
            </w:r>
          </w:p>
        </w:tc>
        <w:tc>
          <w:tcPr>
            <w:tcW w:w="945" w:type="dxa"/>
            <w:tcBorders>
              <w:top w:val="single" w:sz="8" w:space="0" w:color="auto"/>
              <w:left w:val="single" w:sz="8" w:space="0" w:color="auto"/>
              <w:bottom w:val="single" w:sz="8" w:space="0" w:color="auto"/>
              <w:right w:val="single" w:sz="8" w:space="0" w:color="auto"/>
            </w:tcBorders>
            <w:tcMar>
              <w:left w:w="108" w:type="dxa"/>
              <w:right w:w="108" w:type="dxa"/>
            </w:tcMar>
          </w:tcPr>
          <w:p w14:paraId="3C3EDBB2" w14:textId="54BAE626"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2 942</w:t>
            </w:r>
          </w:p>
        </w:tc>
        <w:tc>
          <w:tcPr>
            <w:tcW w:w="1045" w:type="dxa"/>
            <w:tcBorders>
              <w:top w:val="single" w:sz="8" w:space="0" w:color="auto"/>
              <w:left w:val="single" w:sz="8" w:space="0" w:color="auto"/>
              <w:bottom w:val="single" w:sz="8" w:space="0" w:color="auto"/>
              <w:right w:val="single" w:sz="8" w:space="0" w:color="auto"/>
            </w:tcBorders>
            <w:tcMar>
              <w:left w:w="108" w:type="dxa"/>
              <w:right w:w="108" w:type="dxa"/>
            </w:tcMar>
          </w:tcPr>
          <w:p w14:paraId="4A637028" w14:textId="4B9B38F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14 284</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3F08C1E7" w14:textId="08B9E8AA"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2.9</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6394D78B" w14:textId="0D7E779E"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345</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56F9DD1E" w14:textId="5E446EB2"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884</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671D23B0" w14:textId="53D139A1"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2 271</w:t>
            </w:r>
          </w:p>
        </w:tc>
        <w:tc>
          <w:tcPr>
            <w:tcW w:w="1126" w:type="dxa"/>
            <w:tcBorders>
              <w:top w:val="single" w:sz="8" w:space="0" w:color="auto"/>
              <w:left w:val="single" w:sz="8" w:space="0" w:color="auto"/>
              <w:bottom w:val="single" w:sz="8" w:space="0" w:color="auto"/>
              <w:right w:val="single" w:sz="8" w:space="0" w:color="auto"/>
            </w:tcBorders>
            <w:tcMar>
              <w:left w:w="108" w:type="dxa"/>
              <w:right w:w="108" w:type="dxa"/>
            </w:tcMar>
          </w:tcPr>
          <w:p w14:paraId="25B1736B" w14:textId="063829FE"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597 336</w:t>
            </w:r>
          </w:p>
        </w:tc>
      </w:tr>
    </w:tbl>
    <w:p w14:paraId="1134E355" w14:textId="4D423021"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5683CB8A" w14:textId="77777777" w:rsidR="00225B14"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data given by the analysis is highly skewed, meaning most customers have low frequency and spending, but a few are extreme outliers, spending hundreds of thousands. The average recency value of 200 days suggests that many customers have not purchased recently. However, looking at the max and min, there might also be groups of customers towards the max of 734 days that cause the mean to pull towards max. We can assume that the customer base is diverse and uneven, and that most customers are somewhat infrequent buyers, while a minority generate most of the revenue.</w:t>
      </w:r>
    </w:p>
    <w:p w14:paraId="170A11DF" w14:textId="4DB93DC7"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6A6FF66A" w14:textId="79B3A034" w:rsidR="0EF43A6F" w:rsidRDefault="0EF43A6F"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Elbow Method for Optimal K</w:t>
      </w:r>
      <w:r w:rsidR="32809AD9" w:rsidRPr="5B2CC643">
        <w:rPr>
          <w:rFonts w:ascii="Times New Roman" w:eastAsia="Times New Roman" w:hAnsi="Times New Roman" w:cs="Times New Roman"/>
          <w:b/>
          <w:bCs/>
          <w:lang w:val="en-GB"/>
        </w:rPr>
        <w:t>:</w:t>
      </w:r>
    </w:p>
    <w:p w14:paraId="7CA8EC67" w14:textId="5B76FDA5"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Elbow plot visualises the relationship between number of clusters (K) and the inertia (variance within cluster).</w:t>
      </w:r>
    </w:p>
    <w:p w14:paraId="32E391B9" w14:textId="3DB1419D"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Interpreting the plot, we see a steep decline between K = 2 and K = 4, indicating strong gains in cluster separation. After K = 4, the curve flattens as additional clusters give little explanatory power. Therefore, K = 4 is chosen as the optimal segmentation level, providing a good balance between simplicity and interpretability, and the distinct behavioural groups can be understood and targeted differently.</w:t>
      </w:r>
    </w:p>
    <w:p w14:paraId="368D35F6" w14:textId="4CC6D326"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4E2B05A2" w14:textId="1EBA04B0"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summary</w:t>
      </w:r>
    </w:p>
    <w:tbl>
      <w:tblPr>
        <w:tblStyle w:val="TableGrid"/>
        <w:tblW w:w="0" w:type="auto"/>
        <w:tblLayout w:type="fixed"/>
        <w:tblLook w:val="04A0" w:firstRow="1" w:lastRow="0" w:firstColumn="1" w:lastColumn="0" w:noHBand="0" w:noVBand="1"/>
      </w:tblPr>
      <w:tblGrid>
        <w:gridCol w:w="988"/>
        <w:gridCol w:w="992"/>
        <w:gridCol w:w="1276"/>
        <w:gridCol w:w="1559"/>
        <w:gridCol w:w="1559"/>
        <w:gridCol w:w="2642"/>
      </w:tblGrid>
      <w:tr w:rsidR="66FB5AB6" w14:paraId="554862D0" w14:textId="77777777" w:rsidTr="5B2CC643">
        <w:trPr>
          <w:trHeight w:val="300"/>
        </w:trPr>
        <w:tc>
          <w:tcPr>
            <w:tcW w:w="988" w:type="dxa"/>
            <w:tcBorders>
              <w:top w:val="single" w:sz="8" w:space="0" w:color="auto"/>
              <w:left w:val="single" w:sz="8" w:space="0" w:color="auto"/>
              <w:bottom w:val="single" w:sz="8" w:space="0" w:color="auto"/>
              <w:right w:val="single" w:sz="8" w:space="0" w:color="auto"/>
            </w:tcBorders>
            <w:tcMar>
              <w:left w:w="108" w:type="dxa"/>
              <w:right w:w="108" w:type="dxa"/>
            </w:tcMar>
          </w:tcPr>
          <w:p w14:paraId="17C1D356" w14:textId="2B769789"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6ED9BDB5" w14:textId="19C61CC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Size (n)</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1B380C08" w14:textId="517A344D"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Avg. Recency</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5236D7A8" w14:textId="2E1D7179"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Avg. Frequency</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1440A00F" w14:textId="5ADA4F95"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Avg. Monetary</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tcPr>
          <w:p w14:paraId="0CE7D726" w14:textId="0A3F602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Description of customers</w:t>
            </w:r>
          </w:p>
        </w:tc>
      </w:tr>
      <w:tr w:rsidR="66FB5AB6" w14:paraId="5A645823" w14:textId="77777777" w:rsidTr="5B2CC643">
        <w:trPr>
          <w:trHeight w:val="300"/>
        </w:trPr>
        <w:tc>
          <w:tcPr>
            <w:tcW w:w="988" w:type="dxa"/>
            <w:tcBorders>
              <w:top w:val="single" w:sz="8" w:space="0" w:color="auto"/>
              <w:left w:val="single" w:sz="8" w:space="0" w:color="auto"/>
              <w:bottom w:val="single" w:sz="8" w:space="0" w:color="auto"/>
              <w:right w:val="single" w:sz="8" w:space="0" w:color="auto"/>
            </w:tcBorders>
            <w:tcMar>
              <w:left w:w="108" w:type="dxa"/>
              <w:right w:w="108" w:type="dxa"/>
            </w:tcMar>
          </w:tcPr>
          <w:p w14:paraId="4855BBC2" w14:textId="74C921E7"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0</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52349584" w14:textId="27D694A5"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3 720</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7D2C3E86" w14:textId="495AD8B6"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72 days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76ABBC9F" w14:textId="01E88E2E"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128 orders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3F4F8130" w14:textId="206941DA" w:rsidR="66FB5AB6" w:rsidRDefault="51F897C4"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t>
            </w:r>
            <w:r w:rsidR="2BB1837C" w:rsidRPr="5B2CC643">
              <w:rPr>
                <w:rFonts w:ascii="Times New Roman" w:eastAsia="Times New Roman" w:hAnsi="Times New Roman" w:cs="Times New Roman"/>
                <w:lang w:val="en-GB"/>
              </w:rPr>
              <w:t>2 398</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tcPr>
          <w:p w14:paraId="41635348" w14:textId="0D5D475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Active mid-value</w:t>
            </w:r>
          </w:p>
        </w:tc>
      </w:tr>
      <w:tr w:rsidR="66FB5AB6" w14:paraId="70E7CEFF" w14:textId="77777777" w:rsidTr="5B2CC643">
        <w:trPr>
          <w:trHeight w:val="300"/>
        </w:trPr>
        <w:tc>
          <w:tcPr>
            <w:tcW w:w="988" w:type="dxa"/>
            <w:tcBorders>
              <w:top w:val="single" w:sz="8" w:space="0" w:color="auto"/>
              <w:left w:val="single" w:sz="8" w:space="0" w:color="auto"/>
              <w:bottom w:val="single" w:sz="8" w:space="0" w:color="auto"/>
              <w:right w:val="single" w:sz="8" w:space="0" w:color="auto"/>
            </w:tcBorders>
            <w:tcMar>
              <w:left w:w="108" w:type="dxa"/>
              <w:right w:w="108" w:type="dxa"/>
            </w:tcMar>
          </w:tcPr>
          <w:p w14:paraId="65B21198" w14:textId="232EF0F7"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307AE4FE" w14:textId="396DA538"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1 935</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453ABDD6" w14:textId="267329B2"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463 days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7A718DD0" w14:textId="368ABB3C"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44 orders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01F6500B" w14:textId="0580C1B1" w:rsidR="66FB5AB6" w:rsidRDefault="7F87EFC3"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t>
            </w:r>
            <w:r w:rsidR="2BB1837C" w:rsidRPr="5B2CC643">
              <w:rPr>
                <w:rFonts w:ascii="Times New Roman" w:eastAsia="Times New Roman" w:hAnsi="Times New Roman" w:cs="Times New Roman"/>
                <w:lang w:val="en-GB"/>
              </w:rPr>
              <w:t>746</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tcPr>
          <w:p w14:paraId="3EE2AAF5" w14:textId="72DACA08"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Inactive / lost</w:t>
            </w:r>
          </w:p>
        </w:tc>
      </w:tr>
      <w:tr w:rsidR="66FB5AB6" w14:paraId="33F8B233" w14:textId="77777777" w:rsidTr="5B2CC643">
        <w:trPr>
          <w:trHeight w:val="300"/>
        </w:trPr>
        <w:tc>
          <w:tcPr>
            <w:tcW w:w="988" w:type="dxa"/>
            <w:tcBorders>
              <w:top w:val="single" w:sz="8" w:space="0" w:color="auto"/>
              <w:left w:val="single" w:sz="8" w:space="0" w:color="auto"/>
              <w:bottom w:val="single" w:sz="8" w:space="0" w:color="auto"/>
              <w:right w:val="single" w:sz="8" w:space="0" w:color="auto"/>
            </w:tcBorders>
            <w:tcMar>
              <w:left w:w="108" w:type="dxa"/>
              <w:right w:w="108" w:type="dxa"/>
            </w:tcMar>
          </w:tcPr>
          <w:p w14:paraId="2BB3D5EF" w14:textId="78291BA1"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2</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3D951C1F" w14:textId="5D580B7C"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5</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26EAB6B1" w14:textId="3FC0C1C9"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6 days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5FA1DA0A" w14:textId="12929AF9"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6 467 orders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0CC46C00" w14:textId="04A120B1" w:rsidR="66FB5AB6" w:rsidRDefault="358BE7B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t>
            </w:r>
            <w:r w:rsidR="2BB1837C" w:rsidRPr="5B2CC643">
              <w:rPr>
                <w:rFonts w:ascii="Times New Roman" w:eastAsia="Times New Roman" w:hAnsi="Times New Roman" w:cs="Times New Roman"/>
                <w:lang w:val="en-GB"/>
              </w:rPr>
              <w:t xml:space="preserve">353 242 </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tcPr>
          <w:p w14:paraId="392497C1" w14:textId="32CF363F"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Top active customers</w:t>
            </w:r>
          </w:p>
        </w:tc>
      </w:tr>
      <w:tr w:rsidR="66FB5AB6" w14:paraId="1E8D7ABB" w14:textId="77777777" w:rsidTr="5B2CC643">
        <w:trPr>
          <w:trHeight w:val="300"/>
        </w:trPr>
        <w:tc>
          <w:tcPr>
            <w:tcW w:w="988" w:type="dxa"/>
            <w:tcBorders>
              <w:top w:val="single" w:sz="8" w:space="0" w:color="auto"/>
              <w:left w:val="single" w:sz="8" w:space="0" w:color="auto"/>
              <w:bottom w:val="single" w:sz="8" w:space="0" w:color="auto"/>
              <w:right w:val="single" w:sz="8" w:space="0" w:color="auto"/>
            </w:tcBorders>
            <w:tcMar>
              <w:left w:w="108" w:type="dxa"/>
              <w:right w:w="108" w:type="dxa"/>
            </w:tcMar>
          </w:tcPr>
          <w:p w14:paraId="73D6F09D" w14:textId="7063021A"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3</w:t>
            </w:r>
          </w:p>
        </w:tc>
        <w:tc>
          <w:tcPr>
            <w:tcW w:w="992" w:type="dxa"/>
            <w:tcBorders>
              <w:top w:val="single" w:sz="8" w:space="0" w:color="auto"/>
              <w:left w:val="single" w:sz="8" w:space="0" w:color="auto"/>
              <w:bottom w:val="single" w:sz="8" w:space="0" w:color="auto"/>
              <w:right w:val="single" w:sz="8" w:space="0" w:color="auto"/>
            </w:tcBorders>
            <w:tcMar>
              <w:left w:w="108" w:type="dxa"/>
              <w:right w:w="108" w:type="dxa"/>
            </w:tcMar>
          </w:tcPr>
          <w:p w14:paraId="1D623FFC" w14:textId="4D096892"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176</w:t>
            </w:r>
          </w:p>
        </w:tc>
        <w:tc>
          <w:tcPr>
            <w:tcW w:w="1276" w:type="dxa"/>
            <w:tcBorders>
              <w:top w:val="single" w:sz="8" w:space="0" w:color="auto"/>
              <w:left w:val="single" w:sz="8" w:space="0" w:color="auto"/>
              <w:bottom w:val="single" w:sz="8" w:space="0" w:color="auto"/>
              <w:right w:val="single" w:sz="8" w:space="0" w:color="auto"/>
            </w:tcBorders>
            <w:tcMar>
              <w:left w:w="108" w:type="dxa"/>
              <w:right w:w="108" w:type="dxa"/>
            </w:tcMar>
          </w:tcPr>
          <w:p w14:paraId="0ED50703" w14:textId="23CFD35E"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32 days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7784CF78" w14:textId="1D47E16B"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1 125 orders</w:t>
            </w:r>
          </w:p>
        </w:tc>
        <w:tc>
          <w:tcPr>
            <w:tcW w:w="1559" w:type="dxa"/>
            <w:tcBorders>
              <w:top w:val="single" w:sz="8" w:space="0" w:color="auto"/>
              <w:left w:val="single" w:sz="8" w:space="0" w:color="auto"/>
              <w:bottom w:val="single" w:sz="8" w:space="0" w:color="auto"/>
              <w:right w:val="single" w:sz="8" w:space="0" w:color="auto"/>
            </w:tcBorders>
            <w:tcMar>
              <w:left w:w="108" w:type="dxa"/>
              <w:right w:w="108" w:type="dxa"/>
            </w:tcMar>
          </w:tcPr>
          <w:p w14:paraId="03F36625" w14:textId="215E6895" w:rsidR="66FB5AB6" w:rsidRDefault="0AC06392"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t>
            </w:r>
            <w:r w:rsidR="2BB1837C" w:rsidRPr="5B2CC643">
              <w:rPr>
                <w:rFonts w:ascii="Times New Roman" w:eastAsia="Times New Roman" w:hAnsi="Times New Roman" w:cs="Times New Roman"/>
                <w:lang w:val="en-GB"/>
              </w:rPr>
              <w:t>28 617</w:t>
            </w:r>
          </w:p>
        </w:tc>
        <w:tc>
          <w:tcPr>
            <w:tcW w:w="2642" w:type="dxa"/>
            <w:tcBorders>
              <w:top w:val="single" w:sz="8" w:space="0" w:color="auto"/>
              <w:left w:val="single" w:sz="8" w:space="0" w:color="auto"/>
              <w:bottom w:val="single" w:sz="8" w:space="0" w:color="auto"/>
              <w:right w:val="single" w:sz="8" w:space="0" w:color="auto"/>
            </w:tcBorders>
            <w:tcMar>
              <w:left w:w="108" w:type="dxa"/>
              <w:right w:w="108" w:type="dxa"/>
            </w:tcMar>
          </w:tcPr>
          <w:p w14:paraId="46E61463" w14:textId="3439683D" w:rsidR="66FB5AB6" w:rsidRDefault="2BB1837C" w:rsidP="5B2CC643">
            <w:pPr>
              <w:spacing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Loyal high-value</w:t>
            </w:r>
          </w:p>
        </w:tc>
      </w:tr>
    </w:tbl>
    <w:p w14:paraId="3A5D569F" w14:textId="37870601"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618A4E39" w14:textId="77777777" w:rsidR="002422D9" w:rsidRDefault="002422D9" w:rsidP="5B2CC643">
      <w:pPr>
        <w:spacing w:after="0" w:line="360" w:lineRule="auto"/>
        <w:rPr>
          <w:rFonts w:ascii="Times New Roman" w:eastAsia="Times New Roman" w:hAnsi="Times New Roman" w:cs="Times New Roman"/>
          <w:lang w:val="en-GB"/>
        </w:rPr>
      </w:pPr>
    </w:p>
    <w:p w14:paraId="1B2798B0" w14:textId="77777777" w:rsidR="00E70428" w:rsidRDefault="00E70428" w:rsidP="5B2CC643">
      <w:pPr>
        <w:spacing w:after="0" w:line="360" w:lineRule="auto"/>
        <w:rPr>
          <w:rFonts w:ascii="Times New Roman" w:eastAsia="Times New Roman" w:hAnsi="Times New Roman" w:cs="Times New Roman"/>
          <w:lang w:val="en-GB"/>
        </w:rPr>
      </w:pPr>
    </w:p>
    <w:p w14:paraId="6D749EF5" w14:textId="1CAFB10A"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0:</w:t>
      </w:r>
    </w:p>
    <w:p w14:paraId="48AF9881" w14:textId="231AB964"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first cluster represents the core of the business as the cluster covers about 64% of total, where we find moderate frequency, mid-level activity and average spend. The engagement of this customer group can be maintained through loyalty rewards and periodic promotions to prevent churn (loyalty loss).</w:t>
      </w:r>
    </w:p>
    <w:p w14:paraId="091FAF86" w14:textId="36BF765F"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20924D5B" w14:textId="3406568F"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1:</w:t>
      </w:r>
    </w:p>
    <w:p w14:paraId="243FE8AC" w14:textId="3C8453DF"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This cluster captures the inactive or lost customers as we see a higher average recency of 463 days, as well as the lowest average frequency of orders and spend. However, since this customer group consume such a big part of the total (about 33%), the hit-rate (in quantity) of which the customers in this group can be “won back” increases. Like throwing a dart at one hundred balloons and hitting one is easier than hitting one out of five. The business strategy for this group should consist of re-engagement campaigns, win-back discounts and reminder emails.</w:t>
      </w:r>
    </w:p>
    <w:p w14:paraId="043A4DF6" w14:textId="7ABF43AA" w:rsidR="5B2CC643" w:rsidRDefault="5B2CC643" w:rsidP="5B2CC643">
      <w:pPr>
        <w:spacing w:after="0" w:line="360" w:lineRule="auto"/>
        <w:rPr>
          <w:rFonts w:ascii="Times New Roman" w:eastAsia="Times New Roman" w:hAnsi="Times New Roman" w:cs="Times New Roman"/>
          <w:lang w:val="en-GB"/>
        </w:rPr>
      </w:pPr>
    </w:p>
    <w:p w14:paraId="31AD8B00" w14:textId="70987638"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2:</w:t>
      </w:r>
    </w:p>
    <w:p w14:paraId="5DAAAC87" w14:textId="65F5CA3A"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Here we can see the clear winners across all fields except group size, consisting of only about 0.1%. The customers in this group are active customers with an extremely high frequency compared to the other groups, and therefore these are the most valuable individual customers, setting the bar for what is the “optimal” customers. Strategic momentum for these customers includes personalized offers, prioritization of service quality and exclusive customer programs to maintain the good relationship.</w:t>
      </w:r>
    </w:p>
    <w:p w14:paraId="13174A5F" w14:textId="5D4BB537" w:rsidR="0EF43A6F" w:rsidRDefault="0EF43A6F" w:rsidP="5B2CC643">
      <w:pPr>
        <w:spacing w:after="0" w:line="360" w:lineRule="auto"/>
        <w:rPr>
          <w:rFonts w:ascii="Times New Roman" w:eastAsia="Times New Roman" w:hAnsi="Times New Roman" w:cs="Times New Roman"/>
          <w:lang w:val="en-GB"/>
        </w:rPr>
      </w:pPr>
    </w:p>
    <w:p w14:paraId="2DB25310" w14:textId="18133B18" w:rsidR="0EF43A6F" w:rsidRDefault="0EF43A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3:</w:t>
      </w:r>
    </w:p>
    <w:p w14:paraId="09D8A9A1" w14:textId="77F178D1" w:rsidR="0EF43A6F" w:rsidRDefault="0EF43A6F" w:rsidP="5B2CC643">
      <w:pPr>
        <w:spacing w:after="0" w:line="360" w:lineRule="auto"/>
        <w:rPr>
          <w:rFonts w:ascii="Times New Roman" w:eastAsia="Times New Roman" w:hAnsi="Times New Roman" w:cs="Times New Roman"/>
          <w:lang w:val="en-GB"/>
        </w:rPr>
      </w:pPr>
      <w:r w:rsidRPr="05F95E5F">
        <w:rPr>
          <w:rFonts w:ascii="Times New Roman" w:eastAsia="Times New Roman" w:hAnsi="Times New Roman" w:cs="Times New Roman"/>
          <w:lang w:val="en-GB"/>
        </w:rPr>
        <w:t>This group consist</w:t>
      </w:r>
      <w:r w:rsidR="7F281BDF" w:rsidRPr="05F95E5F">
        <w:rPr>
          <w:rFonts w:ascii="Times New Roman" w:eastAsia="Times New Roman" w:hAnsi="Times New Roman" w:cs="Times New Roman"/>
          <w:lang w:val="en-GB"/>
        </w:rPr>
        <w:t>s</w:t>
      </w:r>
      <w:r w:rsidRPr="05F95E5F">
        <w:rPr>
          <w:rFonts w:ascii="Times New Roman" w:eastAsia="Times New Roman" w:hAnsi="Times New Roman" w:cs="Times New Roman"/>
          <w:lang w:val="en-GB"/>
        </w:rPr>
        <w:t xml:space="preserve"> of about 3% of the total and represent the customers on the path to becoming “optimal” customers. Hence, the business relationship with this group needs attention and should also be nurtured through special offers, personalized recommendations, early access or cross-selling.</w:t>
      </w:r>
    </w:p>
    <w:p w14:paraId="378B56B8" w14:textId="46607975" w:rsidR="66FB5AB6" w:rsidRDefault="66FB5AB6" w:rsidP="5B2CC643">
      <w:pPr>
        <w:spacing w:after="0" w:line="360" w:lineRule="auto"/>
        <w:rPr>
          <w:rFonts w:ascii="Times New Roman" w:eastAsia="Times New Roman" w:hAnsi="Times New Roman" w:cs="Times New Roman"/>
          <w:lang w:val="en-GB"/>
        </w:rPr>
      </w:pPr>
    </w:p>
    <w:p w14:paraId="6227CFDF" w14:textId="74329666" w:rsidR="4B7980EA" w:rsidRDefault="4B7980EA"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3D RFM Cluster Plot</w:t>
      </w:r>
    </w:p>
    <w:p w14:paraId="0444DDF3" w14:textId="5AD21286"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There is a clear separation among the clusters in the plot, describing (ranged on impact from low to high):</w:t>
      </w:r>
    </w:p>
    <w:p w14:paraId="00EFF12C" w14:textId="395DCB1C" w:rsidR="4B7980EA" w:rsidRDefault="4B7980EA" w:rsidP="5B2CC643">
      <w:pPr>
        <w:pStyle w:val="ListParagraph"/>
        <w:numPr>
          <w:ilvl w:val="0"/>
          <w:numId w:val="2"/>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1 (purple) as the inactive customer group: Large recency</w:t>
      </w:r>
    </w:p>
    <w:p w14:paraId="3D1213FC" w14:textId="7376186A" w:rsidR="4B7980EA" w:rsidRDefault="4B7980EA" w:rsidP="5B2CC643">
      <w:pPr>
        <w:pStyle w:val="ListParagraph"/>
        <w:numPr>
          <w:ilvl w:val="0"/>
          <w:numId w:val="2"/>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0 (red) as the active mid-tier customer group: Moderate values</w:t>
      </w:r>
    </w:p>
    <w:p w14:paraId="4FBFD147" w14:textId="39D3CDAA" w:rsidR="4B7980EA" w:rsidRDefault="4B7980EA" w:rsidP="5B2CC643">
      <w:pPr>
        <w:pStyle w:val="ListParagraph"/>
        <w:numPr>
          <w:ilvl w:val="0"/>
          <w:numId w:val="2"/>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3 (grey) as the loyal customer group: Moderate recency, high frequency</w:t>
      </w:r>
    </w:p>
    <w:p w14:paraId="789F0313" w14:textId="3C0AFBDE" w:rsidR="4B7980EA" w:rsidRDefault="4B7980EA" w:rsidP="5B2CC643">
      <w:pPr>
        <w:pStyle w:val="ListParagraph"/>
        <w:numPr>
          <w:ilvl w:val="0"/>
          <w:numId w:val="2"/>
        </w:num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Cluster 2 (brown) as the biggest spenders: Extreme outliers</w:t>
      </w:r>
    </w:p>
    <w:p w14:paraId="42D78A37" w14:textId="050A9548"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26A4CB02" w14:textId="2E80547C" w:rsidR="4B7980EA" w:rsidRDefault="4B7980EA"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2D Plots</w:t>
      </w:r>
    </w:p>
    <w:p w14:paraId="379E27C1" w14:textId="3FF82004"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Recency vs Frequency: High-frequency, low-recency customers as in clusters 2 and 3, represent the most loyal customer base.</w:t>
      </w:r>
    </w:p>
    <w:p w14:paraId="1E17929D" w14:textId="472F998E"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Frequency vs Monetary: Explains the previously assumed link between frequency and spending, concluding that the customers who buy often are the biggest business contributors. However, the plot is somewhat disrupted by the outliers. </w:t>
      </w:r>
    </w:p>
    <w:p w14:paraId="53370B1C" w14:textId="1318797E"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Recency vs Monetary: Visualises how the most inactive customers contribute little to the revenue. </w:t>
      </w:r>
    </w:p>
    <w:p w14:paraId="750E17E3" w14:textId="66CA9606" w:rsidR="5B2CC643" w:rsidRDefault="5B2CC643" w:rsidP="5B2CC643">
      <w:pPr>
        <w:spacing w:after="0" w:line="360" w:lineRule="auto"/>
        <w:rPr>
          <w:rFonts w:ascii="Times New Roman" w:eastAsia="Times New Roman" w:hAnsi="Times New Roman" w:cs="Times New Roman"/>
          <w:lang w:val="en-GB"/>
        </w:rPr>
      </w:pPr>
    </w:p>
    <w:p w14:paraId="3544729A" w14:textId="624CF266" w:rsidR="4B7980EA" w:rsidRDefault="4B7980EA"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Conclusion</w:t>
      </w:r>
    </w:p>
    <w:p w14:paraId="5EDF9044" w14:textId="12C36187"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The RFM clustering analysis successfully segment the customer base into four distinct behavioural groups, providing valuable insight into customer engagement and contribution patterns. The majority of customers (cluster 0) are active mid-value buyers, characterized by moderate purchasing frequency and spending, making up for the core of the business’s revenue stream. The analysis also sorts out the inactive customers (cluster 1), proving they are the customers providing the least value, while still taking a big part of the total customer base. </w:t>
      </w:r>
    </w:p>
    <w:p w14:paraId="324F9744" w14:textId="1A023945" w:rsidR="5B2CC643" w:rsidRDefault="5B2CC643" w:rsidP="5B2CC643">
      <w:pPr>
        <w:spacing w:after="0" w:line="360" w:lineRule="auto"/>
        <w:rPr>
          <w:rFonts w:ascii="Times New Roman" w:eastAsia="Times New Roman" w:hAnsi="Times New Roman" w:cs="Times New Roman"/>
          <w:lang w:val="en-GB"/>
        </w:rPr>
      </w:pPr>
    </w:p>
    <w:p w14:paraId="580EC913" w14:textId="062E99FE"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A small but very influential group (cluster 3 and 4) consist of the business’s most valuable long-term customers, whereas cluster 2 indicates the “optimal” customers generating a disproportionate share of total sales, and cluster 3 representing the high-value customers who are highly engaged and demonstrate a potential to become “optimal” customers. </w:t>
      </w:r>
    </w:p>
    <w:p w14:paraId="5CC51D06" w14:textId="480680F8" w:rsidR="4B7980EA" w:rsidRDefault="4B7980EA"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Strategically, the business should focus on retaining and nurturing high-value customers, increasing engagement among mid-tier buyers, and re-engaging inactive customers through data-driven marketing and tailored customer outreach to maximize customer lifetime value and overall revenue growth.</w:t>
      </w:r>
    </w:p>
    <w:p w14:paraId="051E8A62" w14:textId="61FC8CEA" w:rsidR="66FB5AB6" w:rsidRDefault="66FB5AB6" w:rsidP="5B2CC643">
      <w:pPr>
        <w:spacing w:after="0" w:line="360" w:lineRule="auto"/>
        <w:rPr>
          <w:rFonts w:ascii="Times New Roman" w:eastAsia="Times New Roman" w:hAnsi="Times New Roman" w:cs="Times New Roman"/>
          <w:lang w:val="en-GB"/>
        </w:rPr>
      </w:pPr>
    </w:p>
    <w:p w14:paraId="4A92CEDC" w14:textId="05B0C617"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Enhanced Customer Segmentation</w:t>
      </w:r>
    </w:p>
    <w:p w14:paraId="2236FBC2" w14:textId="65D0E01C"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This analysis uses K-means clustering on an improved feature meant to group customers based on behaviour and lifetime engagement. Unlike the RFM segmentation, this model creates a more comprehensive behavioural profile of each customer segment by also accounting for: </w:t>
      </w:r>
    </w:p>
    <w:p w14:paraId="0D40CDD9" w14:textId="28F131C1"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157BA4CD" w14:textId="10432227"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b/>
          <w:bCs/>
          <w:lang w:val="en-GB"/>
        </w:rPr>
        <w:t>Unique orders:</w:t>
      </w:r>
      <w:r w:rsidRPr="5B2CC643">
        <w:rPr>
          <w:rFonts w:ascii="Times New Roman" w:eastAsia="Times New Roman" w:hAnsi="Times New Roman" w:cs="Times New Roman"/>
          <w:lang w:val="en-GB"/>
        </w:rPr>
        <w:t xml:space="preserve"> How often a customer purchase distinct transaction</w:t>
      </w:r>
    </w:p>
    <w:p w14:paraId="094F2979" w14:textId="5EE0D96D"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b/>
          <w:bCs/>
          <w:lang w:val="en-GB"/>
        </w:rPr>
        <w:t>Product diversity:</w:t>
      </w:r>
      <w:r w:rsidRPr="5B2CC643">
        <w:rPr>
          <w:rFonts w:ascii="Times New Roman" w:eastAsia="Times New Roman" w:hAnsi="Times New Roman" w:cs="Times New Roman"/>
          <w:lang w:val="en-GB"/>
        </w:rPr>
        <w:t xml:space="preserve"> How much variety there is in the items purchase</w:t>
      </w:r>
    </w:p>
    <w:p w14:paraId="483010F3" w14:textId="42C78DB1"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b/>
          <w:bCs/>
          <w:lang w:val="en-GB"/>
        </w:rPr>
        <w:t>Customer lifetime:</w:t>
      </w:r>
      <w:r w:rsidRPr="5B2CC643">
        <w:rPr>
          <w:rFonts w:ascii="Times New Roman" w:eastAsia="Times New Roman" w:hAnsi="Times New Roman" w:cs="Times New Roman"/>
          <w:lang w:val="en-GB"/>
        </w:rPr>
        <w:t xml:space="preserve"> How long the customer has been an active customer</w:t>
      </w:r>
    </w:p>
    <w:p w14:paraId="74FAADA2" w14:textId="3161A76A" w:rsidR="5B2CC643" w:rsidRDefault="5B2CC643" w:rsidP="5B2CC643">
      <w:pPr>
        <w:spacing w:after="0" w:line="360" w:lineRule="auto"/>
        <w:rPr>
          <w:rFonts w:ascii="Times New Roman" w:eastAsia="Times New Roman" w:hAnsi="Times New Roman" w:cs="Times New Roman"/>
          <w:lang w:val="en-GB"/>
        </w:rPr>
      </w:pPr>
    </w:p>
    <w:p w14:paraId="6358332B" w14:textId="2C7CC2E3" w:rsidR="4126A46F" w:rsidRDefault="4126A46F"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Silhouette Analysis</w:t>
      </w:r>
    </w:p>
    <w:p w14:paraId="5F64371E" w14:textId="5D0B7551"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This analysis measures how “well” customers fit into their assigned cluster. </w:t>
      </w:r>
    </w:p>
    <w:p w14:paraId="5B6F988C" w14:textId="4A9D0E59" w:rsidR="4126A46F" w:rsidRDefault="4126A46F"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The plot indicates a good score of 0.434 at K = 5 clusters, and a slightly better score at 0.435 at K = 7 clusters. The difference in score between 5 and 7 clusters are negligible compared to the readability difference between the results of the two. Therefore, the chosen number of clusters for further analysis is K = 5. </w:t>
      </w:r>
    </w:p>
    <w:p w14:paraId="659A7462" w14:textId="10CEBF64" w:rsidR="66FB5AB6" w:rsidRDefault="66FB5AB6" w:rsidP="5B2CC643">
      <w:pPr>
        <w:spacing w:after="0" w:line="360" w:lineRule="auto"/>
        <w:rPr>
          <w:rFonts w:ascii="Times New Roman" w:eastAsia="Times New Roman" w:hAnsi="Times New Roman" w:cs="Times New Roman"/>
          <w:lang w:val="en-GB"/>
        </w:rPr>
      </w:pPr>
    </w:p>
    <w:p w14:paraId="1C9C54E2" w14:textId="427F4BCB"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Segment 0: At Risk</w:t>
      </w:r>
    </w:p>
    <w:p w14:paraId="10A1130D" w14:textId="68F0ACB1"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This segment represents the inactive customers summing up to 7.6% of the revenue share. This group has a short lifetime and low engagement, which suggest that they might have disengaged after a brief initial purchase phase.</w:t>
      </w:r>
    </w:p>
    <w:p w14:paraId="506C368D" w14:textId="06F89D39"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396785E4" w14:textId="6AA1E6FC"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Segment 1:  Loyal Customers</w:t>
      </w:r>
    </w:p>
    <w:p w14:paraId="11DD7589" w14:textId="5D7F80D5"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We find the most loyal customers in this segment, with the highest revenue share of 38.9%. This group is the most stable customers as they are consistent buyers, forming the backbone of reoccurring revenue. They show healthy product diversity and long lifetimes, indicating customer trust and habitual purchasing.</w:t>
      </w:r>
    </w:p>
    <w:p w14:paraId="6A9FA6FD" w14:textId="520887AA"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346CF995" w14:textId="71D839E7"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Segment 2: Champions</w:t>
      </w:r>
    </w:p>
    <w:p w14:paraId="2F85E209" w14:textId="09050C4B"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This segment consists of customers with very high recent activity, extreme spending and frequent purchases. Comparing the amount of customers in this group (14) to their revenue share, they amount to an astonishing 16.5% of the total, which generate disproportionate revenue. </w:t>
      </w:r>
    </w:p>
    <w:p w14:paraId="3C436014" w14:textId="28BD0889"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6751B3F1" w14:textId="2AB2F84D"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Segment 3: Power Users </w:t>
      </w:r>
    </w:p>
    <w:p w14:paraId="791C55F3" w14:textId="079828B9"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Here we find the customers with a good recent activity of about 43 days, high frequency, high product diversity, and very strong lifetime duration, holding the place for second highest revenue share of 29.2%. These customers are very valuable as well as they are loyal and has the potential to become champion customers (segment 2).</w:t>
      </w:r>
    </w:p>
    <w:p w14:paraId="180A4139" w14:textId="648577B9" w:rsidR="5B2CC643" w:rsidRDefault="5B2CC643" w:rsidP="5B2CC643">
      <w:pPr>
        <w:spacing w:after="0" w:line="360" w:lineRule="auto"/>
        <w:rPr>
          <w:rFonts w:ascii="Times New Roman" w:eastAsia="Times New Roman" w:hAnsi="Times New Roman" w:cs="Times New Roman"/>
          <w:lang w:val="en-GB"/>
        </w:rPr>
      </w:pPr>
    </w:p>
    <w:p w14:paraId="5D8FFA9D" w14:textId="1F7A4C96"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Segment 4: Potential loyalists </w:t>
      </w:r>
    </w:p>
    <w:p w14:paraId="05D42515" w14:textId="5065D597" w:rsidR="6E219D10" w:rsidRDefault="6E219D1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 this last segment, we find customers with lower average spend, but consistent order patterns. These customers make up 7.8% of the revenue share, and can possibly be interested, newly acquired or recently activated customers. We can assume this as the recency is much lower (≈ 95 days) compared to segment 0 (the At-Risk group) with very similar values across the board, except an average recency of ≈ 478 days.</w:t>
      </w:r>
    </w:p>
    <w:p w14:paraId="16BF6F88" w14:textId="2027FBFD" w:rsidR="6765171F" w:rsidRDefault="6765171F" w:rsidP="5B2CC643">
      <w:pPr>
        <w:spacing w:after="0" w:line="360" w:lineRule="auto"/>
        <w:rPr>
          <w:rFonts w:ascii="Times New Roman" w:eastAsia="Times New Roman" w:hAnsi="Times New Roman" w:cs="Times New Roman"/>
          <w:lang w:val="en-GB"/>
        </w:rPr>
      </w:pPr>
    </w:p>
    <w:p w14:paraId="08DC0E29" w14:textId="6F56E60C" w:rsidR="187EAF4B" w:rsidRDefault="60BD4359"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Customer Count vs Revenue Contribution</w:t>
      </w:r>
    </w:p>
    <w:p w14:paraId="5DB96ED0" w14:textId="1FB5676E"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What we can tell by these two first diagrams, is that most customers are in the Loyal Customers and At Risk category. The Potential Loyalists are following close in customer count but fails to impress when it comes to Revenue Contribution, a field that is dominated by the Loyal Customers. However, the comparison of these two diagrams further confirms the previously stated disproportionality in the Champions influence on the revenue as they are nowhere near the customer count for the Loyal Customers but still manages to challenge the Loyal base in revenue.</w:t>
      </w:r>
    </w:p>
    <w:p w14:paraId="72367419" w14:textId="7D17A85C"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30FC48E1" w14:textId="40E6E3D8" w:rsidR="187EAF4B" w:rsidRDefault="60BD4359"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Revenue vs Recency Scatter Plot</w:t>
      </w:r>
    </w:p>
    <w:p w14:paraId="2BB5DA3A" w14:textId="3E165418"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At Risk customers are clustering at the field for heigh recency and somewhat low revenue, implying longer inactivity and less impact on the business. On the other side, literally, we find the Loyal Customers and Champions as their segments cluster towards low recency and high revenue, further emphasizing their heavy impact on the business.</w:t>
      </w:r>
    </w:p>
    <w:p w14:paraId="41383AFD" w14:textId="110E421B"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526B6DD2" w14:textId="2A31B50A" w:rsidR="187EAF4B" w:rsidRDefault="60BD4359"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Conclusion and business interpretation</w:t>
      </w:r>
    </w:p>
    <w:p w14:paraId="6584A8E8" w14:textId="5FEA246E"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The enhanced segmentation provides a multi-dimensional understanding of customer behaviour. It clearly distinguishes between retention priority, growth potential and low engagement groups. </w:t>
      </w:r>
    </w:p>
    <w:p w14:paraId="442534F8" w14:textId="2ED9EC58"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Segment 2 and 3 should be the high-value focus and consist of the Champions and Power Users. These segments represent only about 8% of the customers but contribute to nearly half the total revenue. Retaining and nurturing this group should be a top priority.</w:t>
      </w:r>
    </w:p>
    <w:p w14:paraId="58C38A77" w14:textId="341A99BE"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Segment 1, Loyal Customers, represent the business’s most stable revenue base, which is a key group for long-term sustainability.</w:t>
      </w:r>
    </w:p>
    <w:p w14:paraId="08CE0F38" w14:textId="2E80F014" w:rsidR="187EAF4B" w:rsidRDefault="60BD4359"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growth and recovery potential lies with the Potential Loyalists and At Risk customers, segments 0 and 4, and should receive attention through consistent engagement and offers as the Potential Loyalists can become Loyal Customers, and the At Risk customers has the potential to be reactivated.</w:t>
      </w:r>
    </w:p>
    <w:p w14:paraId="10BCA964" w14:textId="6A08D770" w:rsidR="2C2A3DC7" w:rsidRDefault="2C2A3DC7" w:rsidP="5B2CC643">
      <w:pPr>
        <w:spacing w:after="0" w:line="360" w:lineRule="auto"/>
        <w:rPr>
          <w:rFonts w:ascii="Times New Roman" w:eastAsia="Times New Roman" w:hAnsi="Times New Roman" w:cs="Times New Roman"/>
          <w:lang w:val="en-GB"/>
        </w:rPr>
      </w:pPr>
    </w:p>
    <w:p w14:paraId="71767766" w14:textId="7DEDFE03" w:rsidR="66FB5AB6" w:rsidRDefault="33D550C3"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RFM Analysis with Quantile Scoring</w:t>
      </w:r>
    </w:p>
    <w:p w14:paraId="760B3661" w14:textId="6B2ABCDA" w:rsidR="66FB5AB6" w:rsidRDefault="33D550C3"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 this analysis, the Champions segment dominates the revenue, contributing to about 68% of total sales, despite compromising only about 20% of the customer base. In addition, the Loyal Customers add another 15% to the revenue, meaning over 80% of the total revenue comes from engaged, repeat buyers. The Can’t Lose Them and At Risk groups, account for about 12% of the revenue, representing former high-value customers who are now becoming inactive. The segments New, Promising, and Need Attention make up for a smaller portion of the revenue, indicating early-stage or low-engagement customers.</w:t>
      </w:r>
      <w:r w:rsidR="0D945F2D" w:rsidRPr="5B2CC643">
        <w:rPr>
          <w:rFonts w:ascii="Times New Roman" w:eastAsia="Times New Roman" w:hAnsi="Times New Roman" w:cs="Times New Roman"/>
          <w:lang w:val="en-GB"/>
        </w:rPr>
        <w:t xml:space="preserve"> However, segments like New and Promising represent early lifecycle stages, and are key for future growth.</w:t>
      </w:r>
    </w:p>
    <w:p w14:paraId="7A464B86" w14:textId="088DE1A4" w:rsidR="66FB5AB6" w:rsidRDefault="33D550C3"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business’s revenue is heavily concentrated among a relatively small, loyal group, while a significant portion of the customer base (Lost and At Risk) shows disengagement. This imbalance highlights opportunities for churn reduction and reactivation marketing as well as retention of the top-tier customers.</w:t>
      </w:r>
    </w:p>
    <w:p w14:paraId="0667A58F" w14:textId="6294A283" w:rsidR="66FB5AB6" w:rsidRDefault="66FB5AB6" w:rsidP="5B2CC643">
      <w:pPr>
        <w:spacing w:after="0" w:line="360" w:lineRule="auto"/>
        <w:rPr>
          <w:rFonts w:ascii="Times New Roman" w:eastAsia="Times New Roman" w:hAnsi="Times New Roman" w:cs="Times New Roman"/>
          <w:lang w:val="en-GB"/>
        </w:rPr>
      </w:pPr>
    </w:p>
    <w:p w14:paraId="70DD19AA" w14:textId="1D64E338" w:rsidR="66FB5AB6" w:rsidRDefault="338E25D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Customer Distribution by RFM Category</w:t>
      </w:r>
    </w:p>
    <w:p w14:paraId="5646FCF4" w14:textId="4A7F4BE9" w:rsidR="66FB5AB6" w:rsidRDefault="338E25D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This bar chart show similarity in customer counts for Champions, Lost and Loyal Customers, but with vastly different contributions to revenue. There are many customers who have fallen into the Lost or At Risk categories, suggesting customer churn over time. Retention and life cycle management are critical strategical moments as many customers stop engaging.</w:t>
      </w:r>
    </w:p>
    <w:p w14:paraId="7976C3B3" w14:textId="6917C1B6" w:rsidR="66FB5AB6" w:rsidRDefault="338E25D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 </w:t>
      </w:r>
    </w:p>
    <w:p w14:paraId="6D5C72EF" w14:textId="68F6E02C" w:rsidR="66FB5AB6" w:rsidRDefault="338E25D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Revenue Contribution by Category</w:t>
      </w:r>
    </w:p>
    <w:p w14:paraId="12F388B7" w14:textId="4E528DF5" w:rsidR="66FB5AB6" w:rsidRDefault="338E25D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In this bar chart, we can see that the Champions, by far are the most dominant source of revenue, with a steep drop off to the Loyal Customers and At Risk groups. The main takeaway from this is that High-value customers sustain the company, and any attrition among them could have disproportionate financial impact for the business.</w:t>
      </w:r>
    </w:p>
    <w:p w14:paraId="520EB856" w14:textId="5D832921" w:rsidR="66FB5AB6" w:rsidRDefault="66FB5AB6" w:rsidP="5B2CC643">
      <w:pPr>
        <w:spacing w:after="0" w:line="360" w:lineRule="auto"/>
        <w:rPr>
          <w:rFonts w:ascii="Times New Roman" w:eastAsia="Times New Roman" w:hAnsi="Times New Roman" w:cs="Times New Roman"/>
          <w:lang w:val="en-GB"/>
        </w:rPr>
      </w:pPr>
    </w:p>
    <w:p w14:paraId="05CDD57C" w14:textId="7C1D52C2" w:rsidR="5B2CC643" w:rsidRDefault="5B2CC643" w:rsidP="5B2CC643">
      <w:pPr>
        <w:spacing w:after="0" w:line="360" w:lineRule="auto"/>
        <w:rPr>
          <w:rFonts w:ascii="Times New Roman" w:eastAsia="Times New Roman" w:hAnsi="Times New Roman" w:cs="Times New Roman"/>
          <w:lang w:val="en-GB"/>
        </w:rPr>
      </w:pPr>
    </w:p>
    <w:p w14:paraId="41963FEE" w14:textId="77777777" w:rsidR="00530219" w:rsidRDefault="00530219" w:rsidP="5B2CC643">
      <w:pPr>
        <w:spacing w:after="0" w:line="360" w:lineRule="auto"/>
        <w:rPr>
          <w:rFonts w:ascii="Times New Roman" w:eastAsia="Times New Roman" w:hAnsi="Times New Roman" w:cs="Times New Roman"/>
          <w:b/>
          <w:bCs/>
          <w:lang w:val="en-GB"/>
        </w:rPr>
      </w:pPr>
    </w:p>
    <w:p w14:paraId="48D45090" w14:textId="77777777" w:rsidR="001E199A" w:rsidRDefault="001E199A" w:rsidP="5B2CC643">
      <w:pPr>
        <w:spacing w:after="0" w:line="360" w:lineRule="auto"/>
        <w:rPr>
          <w:rFonts w:ascii="Times New Roman" w:eastAsia="Times New Roman" w:hAnsi="Times New Roman" w:cs="Times New Roman"/>
          <w:b/>
          <w:bCs/>
          <w:lang w:val="en-GB"/>
        </w:rPr>
      </w:pPr>
    </w:p>
    <w:p w14:paraId="0F551B58" w14:textId="4D90D8A7" w:rsidR="66FB5AB6" w:rsidRDefault="6B158F2C"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RFM Score distribution</w:t>
      </w:r>
    </w:p>
    <w:p w14:paraId="3796CCC0" w14:textId="10D1334E" w:rsidR="66FB5AB6" w:rsidRDefault="6B158F2C"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This histogram reveals a slight skew towards higher scores, implying a healthy base of high-value, active customers. However, the tail of low scores indicates a significant portion of unprofitable customers. Therefore, the business should address customer drop-off and acquisition efficiency in the lower tiers.</w:t>
      </w:r>
    </w:p>
    <w:p w14:paraId="6DE9EBD8" w14:textId="4584B53E" w:rsidR="66FB5AB6" w:rsidRDefault="66FB5AB6" w:rsidP="5B2CC643">
      <w:pPr>
        <w:spacing w:after="0" w:line="360" w:lineRule="auto"/>
        <w:rPr>
          <w:rFonts w:ascii="Times New Roman" w:eastAsia="Times New Roman" w:hAnsi="Times New Roman" w:cs="Times New Roman"/>
          <w:lang w:val="en-GB"/>
        </w:rPr>
      </w:pPr>
    </w:p>
    <w:p w14:paraId="0F2EA691" w14:textId="29775F85" w:rsidR="66FB5AB6" w:rsidRDefault="47E5DAF0"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Heatmaps</w:t>
      </w:r>
    </w:p>
    <w:p w14:paraId="4607BAED" w14:textId="535F34B5" w:rsidR="66FB5AB6" w:rsidRDefault="47E5DAF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Recency vs Frequency</w:t>
      </w:r>
    </w:p>
    <w:p w14:paraId="2D25FD5F" w14:textId="60BB0B9B" w:rsidR="66FB5AB6" w:rsidRDefault="47E5DAF0"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The bottom right of the heatmap represents high recency and high frequency and is where we find the segments: Champions and Loyal Customers. In the top left area, we find the segments that are lowest in frequency and lowest in recency. This represents the Lost and At Risk customers. The insight we get from this is that customer recency and frequency are strongly correlated, meaning that customers who purchase often, also tend to purchase “recently”. Which can be a somewhat self-explanatory observation as the frequency drastically decreases for customers who suddenly stop purchasing, increasing recency negatively.</w:t>
      </w:r>
    </w:p>
    <w:p w14:paraId="115E4672" w14:textId="516986CF" w:rsidR="66FB5AB6" w:rsidRDefault="66FB5AB6" w:rsidP="5B2CC643">
      <w:pPr>
        <w:spacing w:after="0" w:line="360" w:lineRule="auto"/>
        <w:rPr>
          <w:rFonts w:ascii="Times New Roman" w:eastAsia="Times New Roman" w:hAnsi="Times New Roman" w:cs="Times New Roman"/>
          <w:lang w:val="en-GB"/>
        </w:rPr>
      </w:pPr>
    </w:p>
    <w:p w14:paraId="1C297922" w14:textId="64AE0738" w:rsidR="66FB5AB6" w:rsidRDefault="73047DC5"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Frequency vs Monetary</w:t>
      </w:r>
    </w:p>
    <w:p w14:paraId="227FB815" w14:textId="79D2E2D4" w:rsidR="66FB5AB6" w:rsidRDefault="73047DC5"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What we find from this heatmap is that higher frequency is consistently linked to higher spending, as illustrated by the darker colours in the lower-right cells. The customers with low frequency purchases rarely generate any substantial monetary value. The main takeaway from this is that increasing the purchase frequency directly enhances revenue. Therefore, encouraging repeating purchases is more impactful than one-time promotions.</w:t>
      </w:r>
    </w:p>
    <w:p w14:paraId="7E20C809" w14:textId="3CB75EFC" w:rsidR="66FB5AB6" w:rsidRDefault="66FB5AB6" w:rsidP="5B2CC643">
      <w:pPr>
        <w:spacing w:after="0" w:line="360" w:lineRule="auto"/>
        <w:rPr>
          <w:rFonts w:ascii="Times New Roman" w:eastAsia="Times New Roman" w:hAnsi="Times New Roman" w:cs="Times New Roman"/>
          <w:lang w:val="en-GB"/>
        </w:rPr>
      </w:pPr>
    </w:p>
    <w:p w14:paraId="4721E604" w14:textId="4CB5E086" w:rsidR="66FB5AB6" w:rsidRDefault="6D41B214"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Average Monetary by Recency and Frequency</w:t>
      </w:r>
    </w:p>
    <w:p w14:paraId="17C68AA0" w14:textId="31A02D4D" w:rsidR="66FB5AB6" w:rsidRDefault="6D41B214"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This heatmap underlines that customers with both high recency and high frequency yield the highest monetary value, confirming that active repetitive buyers drive the profitability. However, the map also illustrates a dramatic decline in spending potential, revealing that even a short lapse in recency significantly reduces spending behaviour.</w:t>
      </w:r>
    </w:p>
    <w:p w14:paraId="6191EF5B" w14:textId="27FB6E9C" w:rsidR="5B2CC643" w:rsidRDefault="5B2CC643" w:rsidP="5B2CC643">
      <w:pPr>
        <w:spacing w:after="0" w:line="360" w:lineRule="auto"/>
        <w:rPr>
          <w:rFonts w:ascii="Times New Roman" w:eastAsia="Times New Roman" w:hAnsi="Times New Roman" w:cs="Times New Roman"/>
          <w:lang w:val="en-GB"/>
        </w:rPr>
      </w:pPr>
    </w:p>
    <w:p w14:paraId="5D010F93" w14:textId="5701E61F" w:rsidR="60BD36E2" w:rsidRDefault="60BD36E2" w:rsidP="5B2CC643">
      <w:pPr>
        <w:spacing w:after="0" w:line="360" w:lineRule="auto"/>
        <w:rPr>
          <w:rFonts w:ascii="Times New Roman" w:eastAsia="Times New Roman" w:hAnsi="Times New Roman" w:cs="Times New Roman"/>
          <w:b/>
          <w:bCs/>
          <w:lang w:val="en-GB"/>
        </w:rPr>
      </w:pPr>
      <w:r w:rsidRPr="5B2CC643">
        <w:rPr>
          <w:rFonts w:ascii="Times New Roman" w:eastAsia="Times New Roman" w:hAnsi="Times New Roman" w:cs="Times New Roman"/>
          <w:b/>
          <w:bCs/>
          <w:lang w:val="en-GB"/>
        </w:rPr>
        <w:t>Top 20 Customers by RFM Score</w:t>
      </w:r>
    </w:p>
    <w:p w14:paraId="28713F75" w14:textId="3B112C65" w:rsidR="60BD36E2" w:rsidRDefault="60BD36E2" w:rsidP="5B2CC643">
      <w:pPr>
        <w:spacing w:after="0" w:line="360" w:lineRule="auto"/>
        <w:rPr>
          <w:rFonts w:ascii="Times New Roman" w:eastAsia="Times New Roman" w:hAnsi="Times New Roman" w:cs="Times New Roman"/>
          <w:lang w:val="en-GB"/>
        </w:rPr>
      </w:pPr>
      <w:r w:rsidRPr="5B2CC643">
        <w:rPr>
          <w:rFonts w:ascii="Times New Roman" w:eastAsia="Times New Roman" w:hAnsi="Times New Roman" w:cs="Times New Roman"/>
          <w:lang w:val="en-GB"/>
        </w:rPr>
        <w:t xml:space="preserve">As summary of the results from this customer-ranging analysis, we find that all the customers in the top 20 list are in the Champions category, and have the highest possible RFM score of 15, and proving a very low recency value where all customers on the list stay sub 21 days, with an impressive frequency ranging between 200-750 transactions with one exception above 1000. The monetary value indicates a high revenue per customer, mostly ranging from </w:t>
      </w:r>
      <w:r w:rsidR="6A5BBA86" w:rsidRPr="5B2CC643">
        <w:rPr>
          <w:rFonts w:ascii="Times New Roman" w:eastAsia="Times New Roman" w:hAnsi="Times New Roman" w:cs="Times New Roman"/>
          <w:lang w:val="en-GB"/>
        </w:rPr>
        <w:t>$</w:t>
      </w:r>
      <w:r w:rsidRPr="5B2CC643">
        <w:rPr>
          <w:rFonts w:ascii="Times New Roman" w:eastAsia="Times New Roman" w:hAnsi="Times New Roman" w:cs="Times New Roman"/>
          <w:lang w:val="en-GB"/>
        </w:rPr>
        <w:t xml:space="preserve">10,000 to </w:t>
      </w:r>
      <w:r w:rsidR="6858ED9A" w:rsidRPr="5B2CC643">
        <w:rPr>
          <w:rFonts w:ascii="Times New Roman" w:eastAsia="Times New Roman" w:hAnsi="Times New Roman" w:cs="Times New Roman"/>
          <w:lang w:val="en-GB"/>
        </w:rPr>
        <w:t>$</w:t>
      </w:r>
      <w:r w:rsidRPr="5B2CC643">
        <w:rPr>
          <w:rFonts w:ascii="Times New Roman" w:eastAsia="Times New Roman" w:hAnsi="Times New Roman" w:cs="Times New Roman"/>
          <w:lang w:val="en-GB"/>
        </w:rPr>
        <w:t>150,000.</w:t>
      </w:r>
    </w:p>
    <w:p w14:paraId="3FE04235" w14:textId="2EF1C60F" w:rsidR="66FB5AB6" w:rsidRPr="00952AC8" w:rsidRDefault="60BD36E2" w:rsidP="00952AC8">
      <w:pPr>
        <w:spacing w:after="0" w:line="360" w:lineRule="auto"/>
        <w:rPr>
          <w:rFonts w:ascii="Times New Roman" w:eastAsia="Times New Roman" w:hAnsi="Times New Roman" w:cs="Times New Roman"/>
          <w:lang w:val="en-GB"/>
        </w:rPr>
      </w:pPr>
      <w:r w:rsidRPr="05F95E5F">
        <w:rPr>
          <w:rFonts w:ascii="Times New Roman" w:eastAsia="Times New Roman" w:hAnsi="Times New Roman" w:cs="Times New Roman"/>
          <w:lang w:val="en-GB"/>
        </w:rPr>
        <w:t>The insight we gain from this customer segment, is the business’s core profit providers, which likely consist of enterprise clients or very loyal long</w:t>
      </w:r>
      <w:r w:rsidR="4F78EF0F" w:rsidRPr="05F95E5F">
        <w:rPr>
          <w:rFonts w:ascii="Times New Roman" w:eastAsia="Times New Roman" w:hAnsi="Times New Roman" w:cs="Times New Roman"/>
          <w:lang w:val="en-GB"/>
        </w:rPr>
        <w:t>-</w:t>
      </w:r>
      <w:r w:rsidRPr="05F95E5F">
        <w:rPr>
          <w:rFonts w:ascii="Times New Roman" w:eastAsia="Times New Roman" w:hAnsi="Times New Roman" w:cs="Times New Roman"/>
          <w:lang w:val="en-GB"/>
        </w:rPr>
        <w:t>time customers.</w:t>
      </w:r>
    </w:p>
    <w:sectPr w:rsidR="66FB5AB6" w:rsidRPr="0095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F9777"/>
    <w:multiLevelType w:val="hybridMultilevel"/>
    <w:tmpl w:val="3AD6B77A"/>
    <w:lvl w:ilvl="0" w:tplc="716A678E">
      <w:start w:val="1"/>
      <w:numFmt w:val="bullet"/>
      <w:lvlText w:val="-"/>
      <w:lvlJc w:val="left"/>
      <w:pPr>
        <w:ind w:left="720" w:hanging="360"/>
      </w:pPr>
      <w:rPr>
        <w:rFonts w:ascii="Aptos" w:hAnsi="Aptos" w:hint="default"/>
      </w:rPr>
    </w:lvl>
    <w:lvl w:ilvl="1" w:tplc="4426F656">
      <w:start w:val="1"/>
      <w:numFmt w:val="bullet"/>
      <w:lvlText w:val="o"/>
      <w:lvlJc w:val="left"/>
      <w:pPr>
        <w:ind w:left="1440" w:hanging="360"/>
      </w:pPr>
      <w:rPr>
        <w:rFonts w:ascii="Courier New" w:hAnsi="Courier New" w:hint="default"/>
      </w:rPr>
    </w:lvl>
    <w:lvl w:ilvl="2" w:tplc="FBC6965A">
      <w:start w:val="1"/>
      <w:numFmt w:val="bullet"/>
      <w:lvlText w:val=""/>
      <w:lvlJc w:val="left"/>
      <w:pPr>
        <w:ind w:left="2160" w:hanging="360"/>
      </w:pPr>
      <w:rPr>
        <w:rFonts w:ascii="Wingdings" w:hAnsi="Wingdings" w:hint="default"/>
      </w:rPr>
    </w:lvl>
    <w:lvl w:ilvl="3" w:tplc="9BA22052">
      <w:start w:val="1"/>
      <w:numFmt w:val="bullet"/>
      <w:lvlText w:val=""/>
      <w:lvlJc w:val="left"/>
      <w:pPr>
        <w:ind w:left="2880" w:hanging="360"/>
      </w:pPr>
      <w:rPr>
        <w:rFonts w:ascii="Symbol" w:hAnsi="Symbol" w:hint="default"/>
      </w:rPr>
    </w:lvl>
    <w:lvl w:ilvl="4" w:tplc="3176CA72">
      <w:start w:val="1"/>
      <w:numFmt w:val="bullet"/>
      <w:lvlText w:val="o"/>
      <w:lvlJc w:val="left"/>
      <w:pPr>
        <w:ind w:left="3600" w:hanging="360"/>
      </w:pPr>
      <w:rPr>
        <w:rFonts w:ascii="Courier New" w:hAnsi="Courier New" w:hint="default"/>
      </w:rPr>
    </w:lvl>
    <w:lvl w:ilvl="5" w:tplc="2454F576">
      <w:start w:val="1"/>
      <w:numFmt w:val="bullet"/>
      <w:lvlText w:val=""/>
      <w:lvlJc w:val="left"/>
      <w:pPr>
        <w:ind w:left="4320" w:hanging="360"/>
      </w:pPr>
      <w:rPr>
        <w:rFonts w:ascii="Wingdings" w:hAnsi="Wingdings" w:hint="default"/>
      </w:rPr>
    </w:lvl>
    <w:lvl w:ilvl="6" w:tplc="42926D22">
      <w:start w:val="1"/>
      <w:numFmt w:val="bullet"/>
      <w:lvlText w:val=""/>
      <w:lvlJc w:val="left"/>
      <w:pPr>
        <w:ind w:left="5040" w:hanging="360"/>
      </w:pPr>
      <w:rPr>
        <w:rFonts w:ascii="Symbol" w:hAnsi="Symbol" w:hint="default"/>
      </w:rPr>
    </w:lvl>
    <w:lvl w:ilvl="7" w:tplc="39A2521E">
      <w:start w:val="1"/>
      <w:numFmt w:val="bullet"/>
      <w:lvlText w:val="o"/>
      <w:lvlJc w:val="left"/>
      <w:pPr>
        <w:ind w:left="5760" w:hanging="360"/>
      </w:pPr>
      <w:rPr>
        <w:rFonts w:ascii="Courier New" w:hAnsi="Courier New" w:hint="default"/>
      </w:rPr>
    </w:lvl>
    <w:lvl w:ilvl="8" w:tplc="CD360E1E">
      <w:start w:val="1"/>
      <w:numFmt w:val="bullet"/>
      <w:lvlText w:val=""/>
      <w:lvlJc w:val="left"/>
      <w:pPr>
        <w:ind w:left="6480" w:hanging="360"/>
      </w:pPr>
      <w:rPr>
        <w:rFonts w:ascii="Wingdings" w:hAnsi="Wingdings" w:hint="default"/>
      </w:rPr>
    </w:lvl>
  </w:abstractNum>
  <w:abstractNum w:abstractNumId="1" w15:restartNumberingAfterBreak="0">
    <w:nsid w:val="79A2F875"/>
    <w:multiLevelType w:val="hybridMultilevel"/>
    <w:tmpl w:val="BA748E64"/>
    <w:lvl w:ilvl="0" w:tplc="3EEC7314">
      <w:start w:val="1"/>
      <w:numFmt w:val="decimal"/>
      <w:lvlText w:val="%1."/>
      <w:lvlJc w:val="left"/>
      <w:pPr>
        <w:ind w:left="720" w:hanging="360"/>
      </w:pPr>
    </w:lvl>
    <w:lvl w:ilvl="1" w:tplc="3A74DDC4">
      <w:start w:val="1"/>
      <w:numFmt w:val="lowerLetter"/>
      <w:lvlText w:val="%2."/>
      <w:lvlJc w:val="left"/>
      <w:pPr>
        <w:ind w:left="1440" w:hanging="360"/>
      </w:pPr>
    </w:lvl>
    <w:lvl w:ilvl="2" w:tplc="323A60A2">
      <w:start w:val="1"/>
      <w:numFmt w:val="lowerRoman"/>
      <w:lvlText w:val="%3."/>
      <w:lvlJc w:val="right"/>
      <w:pPr>
        <w:ind w:left="2160" w:hanging="180"/>
      </w:pPr>
    </w:lvl>
    <w:lvl w:ilvl="3" w:tplc="AE2AEC1A">
      <w:start w:val="1"/>
      <w:numFmt w:val="decimal"/>
      <w:lvlText w:val="%4."/>
      <w:lvlJc w:val="left"/>
      <w:pPr>
        <w:ind w:left="2880" w:hanging="360"/>
      </w:pPr>
    </w:lvl>
    <w:lvl w:ilvl="4" w:tplc="3D94CFDA">
      <w:start w:val="1"/>
      <w:numFmt w:val="lowerLetter"/>
      <w:lvlText w:val="%5."/>
      <w:lvlJc w:val="left"/>
      <w:pPr>
        <w:ind w:left="3600" w:hanging="360"/>
      </w:pPr>
    </w:lvl>
    <w:lvl w:ilvl="5" w:tplc="5FA484FE">
      <w:start w:val="1"/>
      <w:numFmt w:val="lowerRoman"/>
      <w:lvlText w:val="%6."/>
      <w:lvlJc w:val="right"/>
      <w:pPr>
        <w:ind w:left="4320" w:hanging="180"/>
      </w:pPr>
    </w:lvl>
    <w:lvl w:ilvl="6" w:tplc="84F417A2">
      <w:start w:val="1"/>
      <w:numFmt w:val="decimal"/>
      <w:lvlText w:val="%7."/>
      <w:lvlJc w:val="left"/>
      <w:pPr>
        <w:ind w:left="5040" w:hanging="360"/>
      </w:pPr>
    </w:lvl>
    <w:lvl w:ilvl="7" w:tplc="2844262E">
      <w:start w:val="1"/>
      <w:numFmt w:val="lowerLetter"/>
      <w:lvlText w:val="%8."/>
      <w:lvlJc w:val="left"/>
      <w:pPr>
        <w:ind w:left="5760" w:hanging="360"/>
      </w:pPr>
    </w:lvl>
    <w:lvl w:ilvl="8" w:tplc="23246134">
      <w:start w:val="1"/>
      <w:numFmt w:val="lowerRoman"/>
      <w:lvlText w:val="%9."/>
      <w:lvlJc w:val="right"/>
      <w:pPr>
        <w:ind w:left="6480" w:hanging="180"/>
      </w:pPr>
    </w:lvl>
  </w:abstractNum>
  <w:num w:numId="1" w16cid:durableId="1666665428">
    <w:abstractNumId w:val="0"/>
  </w:num>
  <w:num w:numId="2" w16cid:durableId="8379621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7F14D2"/>
    <w:rsid w:val="000000FD"/>
    <w:rsid w:val="00026F0E"/>
    <w:rsid w:val="000A68BA"/>
    <w:rsid w:val="000E0EFC"/>
    <w:rsid w:val="00107093"/>
    <w:rsid w:val="00183C88"/>
    <w:rsid w:val="001A6145"/>
    <w:rsid w:val="001E199A"/>
    <w:rsid w:val="00213805"/>
    <w:rsid w:val="00225B14"/>
    <w:rsid w:val="002333BB"/>
    <w:rsid w:val="002422D9"/>
    <w:rsid w:val="002917CD"/>
    <w:rsid w:val="00371ED1"/>
    <w:rsid w:val="004426DF"/>
    <w:rsid w:val="004D3DBB"/>
    <w:rsid w:val="00500A27"/>
    <w:rsid w:val="00530219"/>
    <w:rsid w:val="005868B5"/>
    <w:rsid w:val="005E6819"/>
    <w:rsid w:val="00602F24"/>
    <w:rsid w:val="0062155F"/>
    <w:rsid w:val="006923FD"/>
    <w:rsid w:val="007344DD"/>
    <w:rsid w:val="00744F7E"/>
    <w:rsid w:val="007F5A0D"/>
    <w:rsid w:val="008075E6"/>
    <w:rsid w:val="00821FD3"/>
    <w:rsid w:val="008E5D42"/>
    <w:rsid w:val="00933E70"/>
    <w:rsid w:val="00947DDA"/>
    <w:rsid w:val="00952AC8"/>
    <w:rsid w:val="009675B5"/>
    <w:rsid w:val="009D4E6B"/>
    <w:rsid w:val="00A4613A"/>
    <w:rsid w:val="00A64FAA"/>
    <w:rsid w:val="00A93221"/>
    <w:rsid w:val="00AA3908"/>
    <w:rsid w:val="00AE64CA"/>
    <w:rsid w:val="00B10997"/>
    <w:rsid w:val="00B512FB"/>
    <w:rsid w:val="00B97C25"/>
    <w:rsid w:val="00C43819"/>
    <w:rsid w:val="00C97980"/>
    <w:rsid w:val="00D24636"/>
    <w:rsid w:val="00DA603D"/>
    <w:rsid w:val="00E67ACA"/>
    <w:rsid w:val="00E70428"/>
    <w:rsid w:val="00EA2B35"/>
    <w:rsid w:val="014087BD"/>
    <w:rsid w:val="01F2E746"/>
    <w:rsid w:val="01F2F996"/>
    <w:rsid w:val="027D9B91"/>
    <w:rsid w:val="038CB85A"/>
    <w:rsid w:val="041EE887"/>
    <w:rsid w:val="0514E0BB"/>
    <w:rsid w:val="053CA92E"/>
    <w:rsid w:val="057F14D2"/>
    <w:rsid w:val="05F95E5F"/>
    <w:rsid w:val="0844268B"/>
    <w:rsid w:val="086E1D8F"/>
    <w:rsid w:val="0AC06392"/>
    <w:rsid w:val="0CDC9ADD"/>
    <w:rsid w:val="0D7BE9DD"/>
    <w:rsid w:val="0D85EDE5"/>
    <w:rsid w:val="0D945F2D"/>
    <w:rsid w:val="0DD89007"/>
    <w:rsid w:val="0DFA3603"/>
    <w:rsid w:val="0EF43A6F"/>
    <w:rsid w:val="10017BB4"/>
    <w:rsid w:val="108F01F4"/>
    <w:rsid w:val="1111407B"/>
    <w:rsid w:val="112B03A5"/>
    <w:rsid w:val="11B66B5A"/>
    <w:rsid w:val="128401C5"/>
    <w:rsid w:val="12D3E96F"/>
    <w:rsid w:val="13A5D954"/>
    <w:rsid w:val="15DB705B"/>
    <w:rsid w:val="172FDD1F"/>
    <w:rsid w:val="175C54CE"/>
    <w:rsid w:val="187EAF4B"/>
    <w:rsid w:val="1941B69C"/>
    <w:rsid w:val="1A81B41D"/>
    <w:rsid w:val="1B48CD00"/>
    <w:rsid w:val="1BD402B3"/>
    <w:rsid w:val="1C77A3C4"/>
    <w:rsid w:val="1CFD3158"/>
    <w:rsid w:val="1E0C52E8"/>
    <w:rsid w:val="1EFA744A"/>
    <w:rsid w:val="1F3F2F0B"/>
    <w:rsid w:val="1F43AFAE"/>
    <w:rsid w:val="20999EB1"/>
    <w:rsid w:val="20AAE68A"/>
    <w:rsid w:val="24BD462C"/>
    <w:rsid w:val="24E8853A"/>
    <w:rsid w:val="264B56DB"/>
    <w:rsid w:val="272AA752"/>
    <w:rsid w:val="272F192E"/>
    <w:rsid w:val="2A58FB1E"/>
    <w:rsid w:val="2A5E8C00"/>
    <w:rsid w:val="2BB1837C"/>
    <w:rsid w:val="2C2A3DC7"/>
    <w:rsid w:val="2D09721C"/>
    <w:rsid w:val="2D173772"/>
    <w:rsid w:val="2DBEFD14"/>
    <w:rsid w:val="2DE11C69"/>
    <w:rsid w:val="2EF51903"/>
    <w:rsid w:val="30E56F61"/>
    <w:rsid w:val="318C3095"/>
    <w:rsid w:val="32809AD9"/>
    <w:rsid w:val="333907FF"/>
    <w:rsid w:val="338E25D2"/>
    <w:rsid w:val="33D550C3"/>
    <w:rsid w:val="34C64E44"/>
    <w:rsid w:val="34D8EAD6"/>
    <w:rsid w:val="3536A0FF"/>
    <w:rsid w:val="358BE7BC"/>
    <w:rsid w:val="358FB589"/>
    <w:rsid w:val="36F6C309"/>
    <w:rsid w:val="370F71B8"/>
    <w:rsid w:val="3781D401"/>
    <w:rsid w:val="37A4EFF3"/>
    <w:rsid w:val="3884FB7D"/>
    <w:rsid w:val="38EA4C7B"/>
    <w:rsid w:val="39C9516F"/>
    <w:rsid w:val="3A02F444"/>
    <w:rsid w:val="3AA77785"/>
    <w:rsid w:val="3AA8DBFA"/>
    <w:rsid w:val="406DD8D3"/>
    <w:rsid w:val="40837DA3"/>
    <w:rsid w:val="40AE3673"/>
    <w:rsid w:val="4126A46F"/>
    <w:rsid w:val="420C1AE6"/>
    <w:rsid w:val="45BAB186"/>
    <w:rsid w:val="46B69547"/>
    <w:rsid w:val="4755E697"/>
    <w:rsid w:val="47E5DAF0"/>
    <w:rsid w:val="47ED8B00"/>
    <w:rsid w:val="48094690"/>
    <w:rsid w:val="4975A360"/>
    <w:rsid w:val="4B7980EA"/>
    <w:rsid w:val="4D9E852C"/>
    <w:rsid w:val="4DE429B9"/>
    <w:rsid w:val="4E870991"/>
    <w:rsid w:val="4F00573A"/>
    <w:rsid w:val="4F22B2AE"/>
    <w:rsid w:val="4F5B4F37"/>
    <w:rsid w:val="4F78EF0F"/>
    <w:rsid w:val="4FBA9008"/>
    <w:rsid w:val="4FF2B5BC"/>
    <w:rsid w:val="50135CEB"/>
    <w:rsid w:val="502F2689"/>
    <w:rsid w:val="504E8140"/>
    <w:rsid w:val="5160A0AE"/>
    <w:rsid w:val="5161680A"/>
    <w:rsid w:val="51F897C4"/>
    <w:rsid w:val="53DF060D"/>
    <w:rsid w:val="5455BF7A"/>
    <w:rsid w:val="552E71AF"/>
    <w:rsid w:val="55E6F64E"/>
    <w:rsid w:val="574BC4E8"/>
    <w:rsid w:val="585301AA"/>
    <w:rsid w:val="5A19E737"/>
    <w:rsid w:val="5B2CC643"/>
    <w:rsid w:val="5C08B7EB"/>
    <w:rsid w:val="5D9C2625"/>
    <w:rsid w:val="5EF6AE5C"/>
    <w:rsid w:val="5FEC6E2B"/>
    <w:rsid w:val="60BD36E2"/>
    <w:rsid w:val="60BD4359"/>
    <w:rsid w:val="61DC9A72"/>
    <w:rsid w:val="621E50FF"/>
    <w:rsid w:val="626E0070"/>
    <w:rsid w:val="62729DCA"/>
    <w:rsid w:val="62D80E50"/>
    <w:rsid w:val="62F52E16"/>
    <w:rsid w:val="63D36AFE"/>
    <w:rsid w:val="66FB5AB6"/>
    <w:rsid w:val="6765171F"/>
    <w:rsid w:val="67A24C0B"/>
    <w:rsid w:val="6858ED9A"/>
    <w:rsid w:val="686C420E"/>
    <w:rsid w:val="68EC5F9F"/>
    <w:rsid w:val="697B9405"/>
    <w:rsid w:val="6A18689F"/>
    <w:rsid w:val="6A5BBA86"/>
    <w:rsid w:val="6AA22E26"/>
    <w:rsid w:val="6B158F2C"/>
    <w:rsid w:val="6D41B214"/>
    <w:rsid w:val="6E219D10"/>
    <w:rsid w:val="6F516F55"/>
    <w:rsid w:val="70EF9D0E"/>
    <w:rsid w:val="70FFAB23"/>
    <w:rsid w:val="719E206C"/>
    <w:rsid w:val="71B5AEE9"/>
    <w:rsid w:val="72DEBBB5"/>
    <w:rsid w:val="73047DC5"/>
    <w:rsid w:val="73873971"/>
    <w:rsid w:val="74934B7D"/>
    <w:rsid w:val="74F75F75"/>
    <w:rsid w:val="7515ED23"/>
    <w:rsid w:val="758F37D0"/>
    <w:rsid w:val="772BF811"/>
    <w:rsid w:val="7798CFA6"/>
    <w:rsid w:val="77DDD72C"/>
    <w:rsid w:val="789398F6"/>
    <w:rsid w:val="7AFF0009"/>
    <w:rsid w:val="7B683659"/>
    <w:rsid w:val="7BC6C9AB"/>
    <w:rsid w:val="7C6B0002"/>
    <w:rsid w:val="7CB4D3D7"/>
    <w:rsid w:val="7DB95277"/>
    <w:rsid w:val="7E203AF8"/>
    <w:rsid w:val="7ED00E02"/>
    <w:rsid w:val="7F281BDF"/>
    <w:rsid w:val="7F87EF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57F14D2"/>
  <w15:chartTrackingRefBased/>
  <w15:docId w15:val="{11E9B429-6AC8-4EE1-8690-A658055B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41EE88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6FB5AB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Leon Svaet Holter</dc:creator>
  <cp:keywords/>
  <dc:description/>
  <cp:lastModifiedBy>Lucas Leon Svaet Holter</cp:lastModifiedBy>
  <cp:revision>6</cp:revision>
  <dcterms:created xsi:type="dcterms:W3CDTF">2025-11-07T13:12:00Z</dcterms:created>
  <dcterms:modified xsi:type="dcterms:W3CDTF">2025-11-17T10:06:00Z</dcterms:modified>
</cp:coreProperties>
</file>