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568" w:rsidRPr="00A81568" w:rsidRDefault="00A81568" w:rsidP="00A815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Revenue Items Mapped to Each Department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section maps </w:t>
      </w: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revenue heads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 xml:space="preserve"> from the </w:t>
      </w:r>
      <w:proofErr w:type="spellStart"/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Kuje</w:t>
      </w:r>
      <w:proofErr w:type="spellEnd"/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 xml:space="preserve"> Bye-Laws to the </w:t>
      </w: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department responsible for their collection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, based on the functions assigned to each department.</w:t>
      </w:r>
    </w:p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Department of Works, Lands, Housing and Engineering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6 of the Bye-Laws.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department is responsible for physical infrastructure, land administration, and building control.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296"/>
        <w:gridCol w:w="1668"/>
        <w:gridCol w:w="3627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Tenement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Assessed on all ratable properties at 4% of annual value. Collected by the Valuation Office under this department.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Stacking of Building Materials Permit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stacking building materials on streets; includes daily charges for unlawful stacking.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Construction Site Permit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VIII (Part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construction site permits, including special permits for pile driving.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Cutting of Road Tar Permit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 of ₦15,000 minimum for cutting road tar for speed breakers, water pipes, or cables.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Numbering/Street Naming Regulation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paid by individuals who want streets/roads named after them.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Corporate Parking Permit/License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parking permits for corporate bodies and institutions.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Wrong Parking/Impoundment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Penalties and recovery fees for illegally parked or abandoned vehicles.</w:t>
            </w:r>
          </w:p>
        </w:tc>
      </w:tr>
    </w:tbl>
    <w:bookmarkEnd w:id="0"/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Department of Environmental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5(iii) – Environmental Sanitation Unit.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The Department of Environmental works closely with the </w:t>
      </w: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Environmental Sanitation and Waste Management Authority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053"/>
        <w:gridCol w:w="1644"/>
        <w:gridCol w:w="3894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Environmental Sanitation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Monthly waste management charges for residential, commercial, </w:t>
            </w: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industrial, and institutional premises.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 Toilet Permit/License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establishing/operating public toilets; annual renewal fees.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Private Dislodging Tank/Vehicle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₦100,000 annual registration for private dislodging vehicles.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Pest Control Firm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₦100,000 annual registration for private pest control firms operating in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Kuje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Private Sector Participation Refuse Operation (PSPRO)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Registration and licensing of PSP refuse operators.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Fumigation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fumigation of food premises before registration.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 of Fitness for Habitation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 (Section 8.0)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issuance of certificate of fitness for habitation/continued habitation.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Environmental Health Inspection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 (Section 6.6)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collected during inspection of premises for sanitary compliance.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2.3 Department of Finance and Supplies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4.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department is the </w:t>
      </w: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custodian of all Council revenues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. It directly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145"/>
        <w:gridCol w:w="1737"/>
        <w:gridCol w:w="3708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Trade License, Private Lockup Shop and Allied Matters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license fees for all businesses, shops, kiosks, workshops, and corporate offices.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Contractor Registration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Registration fees for contractors (construction, supply, services, consultancy).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Tender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paid by intending contractors for tender documents.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Agreement Fees on Sale of 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land agreements and other dispositions.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Fees for Certificate of Occupancy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Processing fees for C of O.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Fees for Change of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transfer of property ownership.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land searches.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Community Development Levy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levy on residents (individuals and corporate bodies) except exempted categories.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Department of Administration and General Services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3.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department handles general administration, legal matters, and personnel.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921"/>
        <w:gridCol w:w="1725"/>
        <w:gridCol w:w="3945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Registration of Marriages, Births, and Deaths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registering marriages, births, and deaths.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Radio and Television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license fees on radio/TV sets and communication masts.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Advertisement Permit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branded/operational vehicles used for advertisement.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Liquor Licensing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fees for tavern, wine/beer, hotel, club, wholesale, and retail liquor licenses.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Regulation of Mobile Advertisement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branded vehicles and operational vehicles.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2.5 Medical and Health Care Department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5.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department oversees public health and primary health care.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202"/>
        <w:gridCol w:w="1698"/>
        <w:gridCol w:w="4691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Regulated Premises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Annual registration fees for hotels, guest inns, restaurants, bakeries, dairies, aerated water manufacturers, and food-related establishments.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Foodstuff Regulations Permit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Permits for foodstuff premises and food handlers.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Veterinary Services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Agric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Dept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Fees for vaccination, treatment, and slaughterhouse control (though under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Agric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Dept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, health oversight is from Medical).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Pest Control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Fumigation certificates required for food premises registration.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2.6 Department of Education, Social, Information, Sports and Culture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7.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department handles social development, information, sports, and culture.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050"/>
        <w:gridCol w:w="1681"/>
        <w:gridCol w:w="3860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Control of Advertisement (Fixed)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Permit fees for fixed advertisements such as billboards, signboards, neon signs, banners, etc.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Street Naming/Numbering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street naming and numbering (also linked to Works, but Social Development may process applications).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Trade Site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allocation of trade sites within the Council.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Registration of Social Organizations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registration of voluntary, self-help, and social organizations.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Cinema and Viewing Centre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License fees for cinema houses and viewing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centres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2.7 Agricultural and Natural Resources Department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2.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This department is responsible for agriculture, forestry, veterinary, cooperative, and fishery services. It collects revenue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610"/>
        <w:gridCol w:w="1854"/>
        <w:gridCol w:w="4127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Bye-Law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Veterinary Services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vaccination, animal treatment, and slaughterhouse supervision.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Forestry Fees and Royalties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forest produce measurement, assessment, and royalties.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Agricultural Extension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 xml:space="preserve">Fees for tractor hiring services and agricultural training </w:t>
            </w:r>
            <w:proofErr w:type="spellStart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programmes</w:t>
            </w:r>
            <w:proofErr w:type="spellEnd"/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Fishery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Fees for fishery extension services and demonstrations.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Cooperative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II (Section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Registration fees for cooperative societies.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2.8 Audit Department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Legal Basis: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Part II, Section 4 (Audit Department).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The Audit Department does </w:t>
      </w: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directly collect revenue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but is responsible for: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107"/>
        <w:gridCol w:w="5494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S/No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Compliance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Ensures all revenue collected aligns with Bye-Laws and Council policies.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Risk Management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Evaluates revenue collection processes for leakages.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Ensures all revenue agents comply with established rules and guidelines.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2.9 Special Revenue Bodies/Committees</w:t>
      </w:r>
    </w:p>
    <w:p w:rsidR="00A81568" w:rsidRPr="00A81568" w:rsidRDefault="00A81568" w:rsidP="00A8156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Some revenue items are managed by </w:t>
      </w:r>
      <w:proofErr w:type="spellStart"/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specialised</w:t>
      </w:r>
      <w:proofErr w:type="spellEnd"/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bodies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rather than the core departments: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3913"/>
        <w:gridCol w:w="1784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Revenue Item(s)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Environmental Sanitation and Waste Management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Waste management fees, PSP registration, refuse disposal charges.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Environmental Sanitation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Fines for sanitation defaulters, enforcement penalties.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 (Section 6).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Valuation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Tenement Rate assessment and collection.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XXI.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Area Council Revenue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Community Development Levy collection and enforcement.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XXV.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Internal Revenue General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Mobile Advertisement fees.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Part VII.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Summary Table: Department-Wise Revenue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690"/>
        <w:gridCol w:w="2136"/>
      </w:tblGrid>
      <w:tr w:rsidR="00A81568" w:rsidRPr="00A81568" w:rsidTr="00A8156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Primary Revenue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Estimated Annual Potential (₦)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Works, Lands, Housing &amp;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Tenement Rate, Building Permits, Road Cutting, Street Naming, Parking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102M + (Permits)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Environmental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Waste Tariffs, Public Toilets, Pest Control, PSP Registration, Fitness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81.6M +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Finance &amp; Supplies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Trade Licenses, Contractor Registration, Community Dev. Levy, Land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180M +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Administration &amp; General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Marriages/Births/Deaths, Radio/TV, Liquor, Mobile Advert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60M +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Medical &amp; Health 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Regulated Premises, Foodstuff Permits, Pest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18M +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Education, Social, Info, Sports &amp;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Fixed Advertisements, Trade Sites, Social Org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80M +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Agricultural &amp; Natural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Veterinary, Forestry, Fishery, Cooperative Fees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Minor</w:t>
            </w:r>
          </w:p>
        </w:tc>
      </w:tr>
      <w:tr w:rsidR="00A81568" w:rsidRPr="00A81568" w:rsidTr="00A815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No direct collection – oversight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568" w:rsidRPr="00A81568" w:rsidRDefault="00A81568" w:rsidP="00A815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1568">
              <w:rPr>
                <w:rFonts w:ascii="Segoe UI" w:eastAsia="Times New Roman" w:hAnsi="Segoe UI" w:cs="Segoe UI"/>
                <w:sz w:val="23"/>
                <w:szCs w:val="23"/>
              </w:rPr>
              <w:t>–</w:t>
            </w:r>
          </w:p>
        </w:tc>
      </w:tr>
    </w:tbl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Implications for ACDSL as Technical Partner</w:t>
      </w:r>
    </w:p>
    <w:p w:rsidR="00A81568" w:rsidRPr="00A81568" w:rsidRDefault="00A81568" w:rsidP="00A8156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Departmental Collaboration is Critical: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You must engage the relevant department head for each revenue stream. For example, Works/Lands for Tenement Rate, Finance for Trade Licenses, Administration for Liquor, etc.</w:t>
      </w:r>
    </w:p>
    <w:p w:rsidR="00A81568" w:rsidRPr="00A81568" w:rsidRDefault="00A81568" w:rsidP="00A8156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Finance Department is Your Anchor: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Since all revenue ultimately lands in the Council Treasury, your relationship with the Council Treasurer is paramount.</w:t>
      </w:r>
    </w:p>
    <w:p w:rsidR="00A81568" w:rsidRPr="00A81568" w:rsidRDefault="00A81568" w:rsidP="00A8156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Special Bodies Require Special Attention: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The Environmental Authority and Valuation Office have their own structures; you must integrate your technology into their workflows.</w:t>
      </w:r>
    </w:p>
    <w:p w:rsidR="00A81568" w:rsidRPr="00A81568" w:rsidRDefault="00A81568" w:rsidP="00A8156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Enforcement is Multi-Departmental:</w:t>
      </w: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> Litigation and enforcement (clamping, sealing) require coordination with the Legal Unit (Administration), Works/Engineering (for removal), and the Police.</w:t>
      </w:r>
    </w:p>
    <w:p w:rsidR="00A81568" w:rsidRPr="00A81568" w:rsidRDefault="00A81568" w:rsidP="00A8156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A81568" w:rsidRPr="00A81568" w:rsidRDefault="00A81568" w:rsidP="00A81568">
      <w:pPr>
        <w:spacing w:before="240" w:after="100" w:afterAutospacing="1" w:line="420" w:lineRule="atLeast"/>
        <w:rPr>
          <w:rFonts w:ascii="Segoe UI" w:eastAsia="Times New Roman" w:hAnsi="Segoe UI" w:cs="Segoe UI"/>
          <w:color w:val="800080"/>
          <w:sz w:val="24"/>
          <w:szCs w:val="24"/>
        </w:rPr>
      </w:pPr>
      <w:r w:rsidRPr="00A81568">
        <w:rPr>
          <w:rFonts w:ascii="Segoe UI" w:eastAsia="Times New Roman" w:hAnsi="Segoe UI" w:cs="Segoe UI"/>
          <w:color w:val="0F1115"/>
          <w:sz w:val="24"/>
          <w:szCs w:val="24"/>
        </w:rPr>
        <w:t xml:space="preserve">This analysis provides a clear, department-by-department revenue map, which is essential for planning your field operations, data collection, and SLA negotiation. </w:t>
      </w:r>
    </w:p>
    <w:p w:rsidR="00936C1F" w:rsidRDefault="00936C1F"/>
    <w:sectPr w:rsidR="00936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B58AE"/>
    <w:multiLevelType w:val="multilevel"/>
    <w:tmpl w:val="A21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764"/>
    <w:rsid w:val="00312764"/>
    <w:rsid w:val="00936C1F"/>
    <w:rsid w:val="00A8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920FD-C1D8-4C21-8A87-BB7599A8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1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793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8838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06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42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27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7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05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022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15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55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64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50726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917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3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1462</Words>
  <Characters>8334</Characters>
  <Application>Microsoft Office Word</Application>
  <DocSecurity>0</DocSecurity>
  <Lines>69</Lines>
  <Paragraphs>19</Paragraphs>
  <ScaleCrop>false</ScaleCrop>
  <Company>HP</Company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ONASHILE</dc:creator>
  <cp:keywords/>
  <dc:description/>
  <cp:lastModifiedBy>ONASHILE</cp:lastModifiedBy>
  <cp:revision>2</cp:revision>
  <dcterms:created xsi:type="dcterms:W3CDTF">2026-08-24T22:10:00Z</dcterms:created>
  <dcterms:modified xsi:type="dcterms:W3CDTF">2026-08-24T22:19:00Z</dcterms:modified>
</cp:coreProperties>
</file>