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EE6CA" w14:textId="77777777" w:rsidR="00FF76A9" w:rsidRPr="00D60437" w:rsidRDefault="00FF76A9" w:rsidP="00FF76A9">
      <w:pPr>
        <w:pStyle w:val="NoSpacing"/>
        <w:rPr>
          <w:b/>
          <w:bCs/>
          <w:color w:val="EE0000"/>
          <w:lang w:val="en-GB"/>
        </w:rPr>
      </w:pPr>
      <w:r w:rsidRPr="00D60437">
        <w:rPr>
          <w:color w:val="EE0000"/>
          <w:lang w:val="en-GB"/>
        </w:rPr>
        <w:t xml:space="preserve">By the end of September research plan + notes from papers + </w:t>
      </w:r>
      <w:r w:rsidRPr="00D60437">
        <w:rPr>
          <w:b/>
          <w:bCs/>
          <w:color w:val="EE0000"/>
          <w:lang w:val="en-GB"/>
        </w:rPr>
        <w:t>data</w:t>
      </w:r>
    </w:p>
    <w:p w14:paraId="5780D34A" w14:textId="77777777" w:rsidR="00D60437" w:rsidRPr="00D60437" w:rsidRDefault="00D60437" w:rsidP="00D60437">
      <w:pPr>
        <w:pStyle w:val="NoSpacing"/>
        <w:rPr>
          <w:color w:val="EE0000"/>
          <w:lang w:val="en-GB"/>
        </w:rPr>
      </w:pPr>
      <w:r w:rsidRPr="00D60437">
        <w:rPr>
          <w:color w:val="EE0000"/>
          <w:lang w:val="en-GB"/>
        </w:rPr>
        <w:t>First draft end of November doesn’t be perfectionist. Find subject with available.</w:t>
      </w:r>
    </w:p>
    <w:p w14:paraId="6F4EE9A5" w14:textId="28687AA9" w:rsidR="00D60437" w:rsidRPr="00D60437" w:rsidRDefault="00D60437" w:rsidP="00D60437">
      <w:pPr>
        <w:pStyle w:val="NoSpacing"/>
        <w:rPr>
          <w:color w:val="EE0000"/>
          <w:lang w:val="en-GB"/>
        </w:rPr>
      </w:pPr>
      <w:r w:rsidRPr="00D60437">
        <w:rPr>
          <w:color w:val="EE0000"/>
          <w:lang w:val="en-GB"/>
        </w:rPr>
        <w:t>BEFORE 15 of December final version</w:t>
      </w:r>
    </w:p>
    <w:p w14:paraId="15E4C1C2" w14:textId="77777777" w:rsidR="00E620DD" w:rsidRPr="00D60437" w:rsidRDefault="00E620DD" w:rsidP="00BD411D">
      <w:pPr>
        <w:jc w:val="both"/>
        <w:rPr>
          <w:lang w:val="en-GB"/>
        </w:rPr>
      </w:pPr>
    </w:p>
    <w:p w14:paraId="55BD466F" w14:textId="39B97BFD" w:rsidR="00E620DD" w:rsidRDefault="00D60437" w:rsidP="00BD411D">
      <w:pPr>
        <w:jc w:val="both"/>
        <w:rPr>
          <w:b/>
          <w:bCs/>
          <w:color w:val="EE0000"/>
          <w:lang w:val="en-GB"/>
        </w:rPr>
      </w:pPr>
      <w:r w:rsidRPr="00BD51BC">
        <w:rPr>
          <w:b/>
          <w:bCs/>
          <w:color w:val="EE0000"/>
          <w:lang w:val="en-GB"/>
        </w:rPr>
        <w:t>Production/load</w:t>
      </w:r>
      <w:r w:rsidR="00C03287" w:rsidRPr="00BD51BC">
        <w:rPr>
          <w:b/>
          <w:bCs/>
          <w:color w:val="EE0000"/>
          <w:lang w:val="en-GB"/>
        </w:rPr>
        <w:t xml:space="preserve"> ratio</w:t>
      </w:r>
    </w:p>
    <w:p w14:paraId="39C56BB1" w14:textId="77777777" w:rsidR="00DE25C2" w:rsidRDefault="00DE25C2" w:rsidP="00A73421">
      <w:pPr>
        <w:pStyle w:val="NoSpacing"/>
        <w:rPr>
          <w:lang w:val="en-GB"/>
        </w:rPr>
      </w:pPr>
    </w:p>
    <w:p w14:paraId="4035EA0C" w14:textId="3F0AB0DF" w:rsidR="00DE25C2" w:rsidRDefault="00DE25C2" w:rsidP="00DE25C2">
      <w:pPr>
        <w:pStyle w:val="NoSpacing"/>
        <w:rPr>
          <w:lang w:val="en-GB"/>
        </w:rPr>
      </w:pPr>
      <w:r>
        <w:rPr>
          <w:lang w:val="en-GB"/>
        </w:rPr>
        <w:t xml:space="preserve">Estonia Finland : </w:t>
      </w:r>
      <w:r w:rsidRPr="00DE25C2">
        <w:rPr>
          <w:lang w:val="en-GB"/>
        </w:rPr>
        <w:t xml:space="preserve">Fault </w:t>
      </w:r>
      <w:r w:rsidR="001A7647">
        <w:rPr>
          <w:lang w:val="en-GB"/>
        </w:rPr>
        <w:t>o</w:t>
      </w:r>
      <w:r w:rsidRPr="00DE25C2">
        <w:rPr>
          <w:lang w:val="en-GB"/>
        </w:rPr>
        <w:t xml:space="preserve">n </w:t>
      </w:r>
      <w:r w:rsidR="001A7647">
        <w:rPr>
          <w:lang w:val="en-GB"/>
        </w:rPr>
        <w:t xml:space="preserve">26 </w:t>
      </w:r>
      <w:r w:rsidRPr="00DE25C2">
        <w:rPr>
          <w:lang w:val="en-GB"/>
        </w:rPr>
        <w:t>Jan 2024</w:t>
      </w:r>
      <w:r w:rsidR="001A7647">
        <w:rPr>
          <w:lang w:val="en-GB"/>
        </w:rPr>
        <w:t xml:space="preserve"> </w:t>
      </w:r>
      <w:r w:rsidR="00D62EAB">
        <w:rPr>
          <w:lang w:val="en-GB"/>
        </w:rPr>
        <w:t xml:space="preserve">at </w:t>
      </w:r>
      <w:r w:rsidR="001A7647">
        <w:rPr>
          <w:lang w:val="en-GB"/>
        </w:rPr>
        <w:t xml:space="preserve">00:10 </w:t>
      </w:r>
      <w:proofErr w:type="spellStart"/>
      <w:r w:rsidR="001A7647">
        <w:rPr>
          <w:lang w:val="en-GB"/>
        </w:rPr>
        <w:t>eet</w:t>
      </w:r>
      <w:proofErr w:type="spellEnd"/>
      <w:r w:rsidRPr="00DE25C2">
        <w:rPr>
          <w:lang w:val="en-GB"/>
        </w:rPr>
        <w:t xml:space="preserve">: The </w:t>
      </w:r>
      <w:proofErr w:type="spellStart"/>
      <w:r w:rsidRPr="00DE25C2">
        <w:rPr>
          <w:lang w:val="en-GB"/>
        </w:rPr>
        <w:t>Estlink</w:t>
      </w:r>
      <w:proofErr w:type="spellEnd"/>
      <w:r w:rsidRPr="00DE25C2">
        <w:rPr>
          <w:lang w:val="en-GB"/>
        </w:rPr>
        <w:t xml:space="preserve"> 2 link shut down due to an internal short circuit in the cable in late January. It remained out of operation until around end-August 2024. </w:t>
      </w:r>
      <w:hyperlink r:id="rId8" w:history="1">
        <w:r w:rsidRPr="00DE25C2">
          <w:rPr>
            <w:rStyle w:val="Hyperlink"/>
            <w:lang w:val="en-GB"/>
          </w:rPr>
          <w:t>Source</w:t>
        </w:r>
      </w:hyperlink>
      <w:r w:rsidR="007C4835">
        <w:t xml:space="preserve"> </w:t>
      </w:r>
      <w:hyperlink r:id="rId9" w:history="1">
        <w:proofErr w:type="spellStart"/>
        <w:r w:rsidR="007C4835" w:rsidRPr="007C4835">
          <w:rPr>
            <w:rStyle w:val="Hyperlink"/>
          </w:rPr>
          <w:t>Fingrid</w:t>
        </w:r>
        <w:proofErr w:type="spellEnd"/>
      </w:hyperlink>
    </w:p>
    <w:p w14:paraId="2398BAFE" w14:textId="77777777" w:rsidR="00A73421" w:rsidRDefault="00A73421" w:rsidP="00A73421">
      <w:pPr>
        <w:pStyle w:val="NoSpacing"/>
        <w:rPr>
          <w:lang w:val="en-GB"/>
        </w:rPr>
      </w:pPr>
    </w:p>
    <w:p w14:paraId="3D57304C" w14:textId="6C09466C" w:rsidR="00E2305E" w:rsidRDefault="00E2305E" w:rsidP="00A73421">
      <w:pPr>
        <w:pStyle w:val="NoSpacing"/>
        <w:rPr>
          <w:lang w:val="en-GB"/>
        </w:rPr>
      </w:pPr>
      <w:r>
        <w:rPr>
          <w:lang w:val="en-GB"/>
        </w:rPr>
        <w:t xml:space="preserve">Important points: Structural brake since decoupling with Russian and Belarusian grid in February 2025. Second outage on 25 dec 2024. Control for these events in case of consideration. </w:t>
      </w:r>
    </w:p>
    <w:p w14:paraId="2F658656" w14:textId="1BD57278" w:rsidR="00E2305E" w:rsidRPr="00CD4C1D" w:rsidRDefault="004A6DC6" w:rsidP="00A73421">
      <w:pPr>
        <w:pStyle w:val="NoSpacing"/>
        <w:rPr>
          <w:color w:val="000000" w:themeColor="text1"/>
          <w:lang w:val="en-GB"/>
        </w:rPr>
      </w:pPr>
      <w:r w:rsidRPr="00CD4C1D">
        <w:rPr>
          <w:color w:val="000000" w:themeColor="text1"/>
          <w:lang w:val="en-GB"/>
        </w:rPr>
        <w:t xml:space="preserve">If TSO curtailed renewable production, this endogeneity would fake the results. At least </w:t>
      </w:r>
      <w:r w:rsidR="00D62EAB" w:rsidRPr="00CD4C1D">
        <w:rPr>
          <w:color w:val="000000" w:themeColor="text1"/>
          <w:lang w:val="en-GB"/>
        </w:rPr>
        <w:t>checks</w:t>
      </w:r>
      <w:r w:rsidRPr="00CD4C1D">
        <w:rPr>
          <w:color w:val="000000" w:themeColor="text1"/>
          <w:lang w:val="en-GB"/>
        </w:rPr>
        <w:t xml:space="preserve"> for production and jumps in the production </w:t>
      </w:r>
      <w:proofErr w:type="spellStart"/>
      <w:r w:rsidRPr="00CD4C1D">
        <w:rPr>
          <w:color w:val="000000" w:themeColor="text1"/>
          <w:lang w:val="en-GB"/>
        </w:rPr>
        <w:t>wrt</w:t>
      </w:r>
      <w:proofErr w:type="spellEnd"/>
      <w:r w:rsidRPr="00CD4C1D">
        <w:rPr>
          <w:color w:val="000000" w:themeColor="text1"/>
          <w:lang w:val="en-GB"/>
        </w:rPr>
        <w:t xml:space="preserve"> last year. </w:t>
      </w:r>
      <w:r w:rsidR="0074174E" w:rsidRPr="00CD4C1D">
        <w:rPr>
          <w:color w:val="000000" w:themeColor="text1"/>
          <w:lang w:val="en-GB"/>
        </w:rPr>
        <w:t>Solution regress renewable production on cable dummy</w:t>
      </w:r>
    </w:p>
    <w:p w14:paraId="166F600A" w14:textId="2A6ECA44" w:rsidR="0092064B" w:rsidRPr="0092064B" w:rsidRDefault="0092064B" w:rsidP="00A73421">
      <w:pPr>
        <w:pStyle w:val="NoSpacing"/>
        <w:rPr>
          <w:color w:val="000000" w:themeColor="text1"/>
          <w:lang w:val="en-GB"/>
        </w:rPr>
      </w:pPr>
      <w:r>
        <w:rPr>
          <w:color w:val="000000" w:themeColor="text1"/>
          <w:lang w:val="en-GB"/>
        </w:rPr>
        <w:t xml:space="preserve">Use time dummies for weekends, </w:t>
      </w:r>
      <w:r w:rsidR="0013109A">
        <w:rPr>
          <w:color w:val="000000" w:themeColor="text1"/>
          <w:lang w:val="en-GB"/>
        </w:rPr>
        <w:t>holydays, peak off peak, season</w:t>
      </w:r>
    </w:p>
    <w:p w14:paraId="0409E769" w14:textId="1427B679" w:rsidR="00A73421" w:rsidRDefault="00CD4C1D" w:rsidP="00A73421">
      <w:pPr>
        <w:pStyle w:val="NoSpacing"/>
        <w:rPr>
          <w:lang w:val="en-GB"/>
        </w:rPr>
      </w:pPr>
      <w:r>
        <w:rPr>
          <w:lang w:val="en-GB"/>
        </w:rPr>
        <w:t>Check demand response programs in Estonia</w:t>
      </w:r>
    </w:p>
    <w:p w14:paraId="4493C010" w14:textId="77777777" w:rsidR="00CD4C1D" w:rsidRDefault="00CD4C1D" w:rsidP="00A73421">
      <w:pPr>
        <w:pStyle w:val="NoSpacing"/>
        <w:rPr>
          <w:lang w:val="en-GB"/>
        </w:rPr>
      </w:pPr>
    </w:p>
    <w:p w14:paraId="17BBFB97" w14:textId="1BC3FB60" w:rsidR="0058143C" w:rsidRPr="00CD4C1D" w:rsidRDefault="0058143C" w:rsidP="00A73421">
      <w:pPr>
        <w:pStyle w:val="NoSpacing"/>
        <w:rPr>
          <w:color w:val="000000" w:themeColor="text1"/>
          <w:lang w:val="en-GB"/>
        </w:rPr>
      </w:pPr>
      <w:r w:rsidRPr="00CD4C1D">
        <w:rPr>
          <w:color w:val="000000" w:themeColor="text1"/>
          <w:lang w:val="en-GB"/>
        </w:rPr>
        <w:t>Instrument volatility on wind production and check weather loss of interconnection makes an effect</w:t>
      </w:r>
      <w:r w:rsidR="00E620DD" w:rsidRPr="00CD4C1D">
        <w:rPr>
          <w:color w:val="000000" w:themeColor="text1"/>
          <w:lang w:val="en-GB"/>
        </w:rPr>
        <w:t xml:space="preserve"> using SCM</w:t>
      </w:r>
      <w:r w:rsidR="00844FF2" w:rsidRPr="00CD4C1D">
        <w:rPr>
          <w:color w:val="000000" w:themeColor="text1"/>
          <w:lang w:val="en-GB"/>
        </w:rPr>
        <w:t xml:space="preserve"> OR Create pre and post fault dataset and apply to both quantile regression (for instance </w:t>
      </w:r>
      <w:proofErr w:type="spellStart"/>
      <w:r w:rsidR="00844FF2" w:rsidRPr="00CD4C1D">
        <w:rPr>
          <w:color w:val="000000" w:themeColor="text1"/>
          <w:lang w:val="en-GB"/>
        </w:rPr>
        <w:t>Tselika</w:t>
      </w:r>
      <w:proofErr w:type="spellEnd"/>
      <w:r w:rsidR="00844FF2" w:rsidRPr="00CD4C1D">
        <w:rPr>
          <w:color w:val="000000" w:themeColor="text1"/>
          <w:lang w:val="en-GB"/>
        </w:rPr>
        <w:t xml:space="preserve"> method)</w:t>
      </w:r>
    </w:p>
    <w:p w14:paraId="7E8BD884" w14:textId="77777777" w:rsidR="0058143C" w:rsidRDefault="0058143C" w:rsidP="00A73421">
      <w:pPr>
        <w:pStyle w:val="NoSpacing"/>
        <w:rPr>
          <w:lang w:val="en-GB"/>
        </w:rPr>
      </w:pPr>
    </w:p>
    <w:p w14:paraId="5719A907" w14:textId="25ACE696" w:rsidR="0092064B" w:rsidRDefault="0092064B" w:rsidP="00A73421">
      <w:pPr>
        <w:pStyle w:val="NoSpacing"/>
        <w:rPr>
          <w:lang w:val="en-GB"/>
        </w:rPr>
      </w:pPr>
      <w:r>
        <w:rPr>
          <w:lang w:val="en-GB"/>
        </w:rPr>
        <w:t>Robustness check, use different volatility measures</w:t>
      </w:r>
      <w:r w:rsidR="0013109A">
        <w:rPr>
          <w:lang w:val="en-GB"/>
        </w:rPr>
        <w:t xml:space="preserve">, increase treatment window (from +/- 30 days to the whole </w:t>
      </w:r>
      <w:proofErr w:type="spellStart"/>
      <w:r w:rsidR="0013109A">
        <w:rPr>
          <w:lang w:val="en-GB"/>
        </w:rPr>
        <w:t>jan</w:t>
      </w:r>
      <w:proofErr w:type="spellEnd"/>
      <w:r w:rsidR="0013109A">
        <w:rPr>
          <w:lang w:val="en-GB"/>
        </w:rPr>
        <w:t xml:space="preserve"> to </w:t>
      </w:r>
      <w:proofErr w:type="spellStart"/>
      <w:r w:rsidR="0013109A">
        <w:rPr>
          <w:lang w:val="en-GB"/>
        </w:rPr>
        <w:t>aug</w:t>
      </w:r>
      <w:proofErr w:type="spellEnd"/>
      <w:r w:rsidR="0013109A">
        <w:rPr>
          <w:lang w:val="en-GB"/>
        </w:rPr>
        <w:t>). Placebo (fake outage). Leads and lags for outage dummies</w:t>
      </w:r>
    </w:p>
    <w:p w14:paraId="752C46D5" w14:textId="77777777" w:rsidR="00A73421" w:rsidRDefault="00A73421" w:rsidP="00A73421">
      <w:pPr>
        <w:pStyle w:val="NoSpacing"/>
        <w:rPr>
          <w:lang w:val="en-GB"/>
        </w:rPr>
      </w:pPr>
    </w:p>
    <w:p w14:paraId="4F1E32BE" w14:textId="77777777" w:rsidR="004D12C3" w:rsidRDefault="00B87ACA" w:rsidP="00EF4D8A">
      <w:pPr>
        <w:pStyle w:val="NoSpacing"/>
        <w:rPr>
          <w:b/>
          <w:bCs/>
          <w:lang w:val="en-GB"/>
        </w:rPr>
      </w:pPr>
      <w:r w:rsidRPr="004D12C3">
        <w:rPr>
          <w:b/>
          <w:bCs/>
          <w:lang w:val="en-GB"/>
        </w:rPr>
        <w:t>Question prof</w:t>
      </w:r>
    </w:p>
    <w:p w14:paraId="42BC5A43" w14:textId="77777777" w:rsidR="00B264E3" w:rsidRDefault="004D12C3" w:rsidP="00EF4D8A">
      <w:pPr>
        <w:pStyle w:val="NoSpacing"/>
        <w:rPr>
          <w:lang w:val="en-GB"/>
        </w:rPr>
      </w:pPr>
      <w:r>
        <w:rPr>
          <w:lang w:val="en-GB"/>
        </w:rPr>
        <w:t>Summary statistic</w:t>
      </w:r>
      <w:r w:rsidR="00B264E3">
        <w:rPr>
          <w:lang w:val="en-GB"/>
        </w:rPr>
        <w:t>:</w:t>
      </w:r>
    </w:p>
    <w:p w14:paraId="30FE1C19" w14:textId="1BF35486" w:rsidR="00BB4274" w:rsidRPr="00DC3B32" w:rsidRDefault="00DC3B32" w:rsidP="00977E33">
      <w:pPr>
        <w:pStyle w:val="NoSpacing"/>
        <w:numPr>
          <w:ilvl w:val="0"/>
          <w:numId w:val="8"/>
        </w:numPr>
        <w:rPr>
          <w:color w:val="000000" w:themeColor="text1"/>
          <w:lang w:val="en-GB"/>
        </w:rPr>
      </w:pPr>
      <w:r>
        <w:rPr>
          <w:lang w:val="en-GB"/>
        </w:rPr>
        <w:t>Comparison Estonia with Germany and Denmark, should I cite where I took the data</w:t>
      </w:r>
    </w:p>
    <w:p w14:paraId="684B49EB" w14:textId="7C818F0D" w:rsidR="009D579E" w:rsidRPr="007806E6" w:rsidRDefault="009D579E" w:rsidP="00977E33">
      <w:pPr>
        <w:pStyle w:val="NoSpacing"/>
        <w:numPr>
          <w:ilvl w:val="0"/>
          <w:numId w:val="8"/>
        </w:numPr>
        <w:rPr>
          <w:color w:val="000000" w:themeColor="text1"/>
          <w:lang w:val="en-GB"/>
        </w:rPr>
      </w:pPr>
      <w:r>
        <w:rPr>
          <w:lang w:val="en-GB"/>
        </w:rPr>
        <w:t>Load outliers</w:t>
      </w:r>
    </w:p>
    <w:p w14:paraId="1FF08881" w14:textId="2BA60320" w:rsidR="007806E6" w:rsidRDefault="007806E6" w:rsidP="007806E6">
      <w:pPr>
        <w:pStyle w:val="NoSpacing"/>
        <w:rPr>
          <w:lang w:val="en-GB"/>
        </w:rPr>
      </w:pPr>
      <w:r>
        <w:rPr>
          <w:lang w:val="en-GB"/>
        </w:rPr>
        <w:t>Methodology</w:t>
      </w:r>
    </w:p>
    <w:p w14:paraId="26C04E55" w14:textId="1BAD815B" w:rsidR="008E28FA" w:rsidRDefault="009822D3" w:rsidP="009822D3">
      <w:pPr>
        <w:pStyle w:val="NoSpacing"/>
        <w:numPr>
          <w:ilvl w:val="0"/>
          <w:numId w:val="10"/>
        </w:numPr>
        <w:rPr>
          <w:color w:val="000000" w:themeColor="text1"/>
          <w:lang w:val="en-GB"/>
        </w:rPr>
      </w:pPr>
      <w:r>
        <w:rPr>
          <w:highlight w:val="yellow"/>
          <w:lang w:val="en-GB"/>
        </w:rPr>
        <w:t xml:space="preserve">Location scale </w:t>
      </w:r>
      <w:r w:rsidR="007E7344" w:rsidRPr="0015696A">
        <w:rPr>
          <w:highlight w:val="yellow"/>
          <w:lang w:val="en-GB"/>
        </w:rPr>
        <w:t>setup assumes that covariates affect distribution only through location and scale</w:t>
      </w:r>
      <w:r w:rsidR="007E7344">
        <w:rPr>
          <w:lang w:val="en-GB"/>
        </w:rPr>
        <w:t xml:space="preserve">, no kurtosis, no skewness. Conditional distribution of Y on X should not change (tails or skewness) with </w:t>
      </w:r>
      <w:r w:rsidR="008E28FA">
        <w:rPr>
          <w:lang w:val="en-GB"/>
        </w:rPr>
        <w:t xml:space="preserve">X. </w:t>
      </w:r>
      <w:r w:rsidR="008E28FA">
        <w:rPr>
          <w:color w:val="000000" w:themeColor="text1"/>
          <w:lang w:val="en-GB"/>
        </w:rPr>
        <w:t>How to test?</w:t>
      </w:r>
    </w:p>
    <w:p w14:paraId="77EA6BE4" w14:textId="170F8BFF" w:rsidR="008E28FA" w:rsidRPr="00921887" w:rsidRDefault="00050992" w:rsidP="00921887">
      <w:pPr>
        <w:pStyle w:val="NoSpacing"/>
        <w:numPr>
          <w:ilvl w:val="0"/>
          <w:numId w:val="9"/>
        </w:numPr>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Measure of variability that I don’t need to aggregate data and use </w:t>
      </w:r>
      <w:proofErr w:type="spellStart"/>
      <w:r>
        <w:rPr>
          <w:lang w:val="en-GB"/>
        </w:rPr>
        <w:t>Keppler_etal</w:t>
      </w:r>
      <w:proofErr w:type="spellEnd"/>
      <w:r>
        <w:rPr>
          <w:lang w:val="en-GB"/>
        </w:rPr>
        <w:t xml:space="preserve"> 2016 strategy (Panel with FE, no quantile regression)</w:t>
      </w:r>
    </w:p>
    <w:p w14:paraId="2B294AAD" w14:textId="77777777" w:rsidR="008E28FA" w:rsidRDefault="008E28FA" w:rsidP="008E28FA">
      <w:pPr>
        <w:pStyle w:val="NoSpacing"/>
        <w:ind w:left="720"/>
        <w:rPr>
          <w:color w:val="000000" w:themeColor="text1"/>
          <w:lang w:val="en-GB"/>
        </w:rPr>
      </w:pPr>
    </w:p>
    <w:p w14:paraId="5EF8A7A7" w14:textId="77777777" w:rsidR="00B20EBF" w:rsidRDefault="00B20EBF" w:rsidP="00507E7D">
      <w:pPr>
        <w:pStyle w:val="NoSpacing"/>
        <w:rPr>
          <w:color w:val="000000" w:themeColor="text1"/>
          <w:lang w:val="en-GB"/>
        </w:rPr>
      </w:pPr>
    </w:p>
    <w:p w14:paraId="380B9C8F" w14:textId="48632E97" w:rsidR="00D52532" w:rsidRPr="003E479E" w:rsidRDefault="00845FAE" w:rsidP="00EF4D8A">
      <w:pPr>
        <w:pStyle w:val="NoSpacing"/>
        <w:rPr>
          <w:color w:val="EE0000"/>
          <w:lang w:val="en-GB"/>
        </w:rPr>
      </w:pPr>
      <w:r>
        <w:rPr>
          <w:color w:val="EE0000"/>
          <w:lang w:val="en-GB"/>
        </w:rPr>
        <w:t>PUT better notes in the summary statistics</w:t>
      </w:r>
    </w:p>
    <w:p w14:paraId="73EED2A0" w14:textId="77777777" w:rsidR="00507E7D" w:rsidRPr="00D52532" w:rsidRDefault="00507E7D" w:rsidP="00EF4D8A">
      <w:pPr>
        <w:pStyle w:val="NoSpacing"/>
      </w:pPr>
    </w:p>
    <w:p w14:paraId="2FE2051B" w14:textId="3BB55F08" w:rsidR="00216E2D" w:rsidRPr="004D12C3" w:rsidRDefault="00216E2D" w:rsidP="00EF4D8A">
      <w:pPr>
        <w:pStyle w:val="NoSpacing"/>
        <w:rPr>
          <w:b/>
          <w:bCs/>
          <w:lang w:val="en-GB"/>
        </w:rPr>
      </w:pPr>
      <w:r w:rsidRPr="004D12C3">
        <w:rPr>
          <w:b/>
          <w:bCs/>
          <w:lang w:val="en-GB"/>
        </w:rPr>
        <w:br w:type="page"/>
      </w:r>
    </w:p>
    <w:p w14:paraId="5AFD09F6" w14:textId="29DA7F98" w:rsidR="00216E2D" w:rsidRDefault="00216E2D" w:rsidP="00216E2D">
      <w:pPr>
        <w:spacing w:after="160" w:line="259" w:lineRule="auto"/>
        <w:sectPr w:rsidR="00216E2D" w:rsidSect="00216E2D">
          <w:pgSz w:w="11906" w:h="16838"/>
          <w:pgMar w:top="1417" w:right="1134" w:bottom="1134" w:left="1134" w:header="708" w:footer="708" w:gutter="0"/>
          <w:cols w:space="708"/>
          <w:docGrid w:linePitch="360"/>
        </w:sectPr>
      </w:pPr>
    </w:p>
    <w:p w14:paraId="75227D5C" w14:textId="77777777" w:rsidR="00216E2D" w:rsidRDefault="00216E2D" w:rsidP="00216E2D">
      <w:pPr>
        <w:jc w:val="both"/>
        <w:rPr>
          <w:lang w:val="en-GB"/>
        </w:rPr>
      </w:pPr>
      <w:r w:rsidRPr="00D60437">
        <w:rPr>
          <w:lang w:val="en-GB"/>
        </w:rPr>
        <w:lastRenderedPageBreak/>
        <w:t xml:space="preserve">Literature: </w:t>
      </w:r>
    </w:p>
    <w:p w14:paraId="47302A88" w14:textId="77777777" w:rsidR="00216E2D" w:rsidRPr="005A6E8A" w:rsidRDefault="00216E2D" w:rsidP="00216E2D">
      <w:pPr>
        <w:rPr>
          <w:color w:val="000000" w:themeColor="text1"/>
          <w:lang w:val="en-GB"/>
        </w:rPr>
      </w:pPr>
      <w:r w:rsidRPr="005A6E8A">
        <w:rPr>
          <w:color w:val="000000" w:themeColor="text1"/>
          <w:lang w:val="en-GB"/>
        </w:rPr>
        <w:t>A. Why is the study interesting? (which social issues addressed? what is known or less well known? what is novel either in terms of data or methodology? what is suggested by the results?) </w:t>
      </w:r>
    </w:p>
    <w:p w14:paraId="1DDC83D7" w14:textId="77777777" w:rsidR="00216E2D" w:rsidRPr="005A6E8A" w:rsidRDefault="00216E2D" w:rsidP="00216E2D">
      <w:pPr>
        <w:rPr>
          <w:color w:val="000000" w:themeColor="text1"/>
          <w:lang w:val="en-GB"/>
        </w:rPr>
      </w:pPr>
      <w:r w:rsidRPr="005A6E8A">
        <w:rPr>
          <w:color w:val="000000" w:themeColor="text1"/>
          <w:lang w:val="en-GB"/>
        </w:rPr>
        <w:t>B. What are the main data sources (main characteristics and how are they matched?) </w:t>
      </w:r>
    </w:p>
    <w:p w14:paraId="2FBAA02E" w14:textId="2BC5C6D4" w:rsidR="00216E2D" w:rsidRPr="005A6E8A" w:rsidRDefault="00216E2D" w:rsidP="00216E2D">
      <w:pPr>
        <w:rPr>
          <w:color w:val="000000" w:themeColor="text1"/>
          <w:lang w:val="en-GB"/>
        </w:rPr>
      </w:pPr>
      <w:r w:rsidRPr="005A6E8A">
        <w:rPr>
          <w:color w:val="000000" w:themeColor="text1"/>
          <w:lang w:val="en-GB"/>
        </w:rPr>
        <w:t>C. </w:t>
      </w:r>
      <w:r w:rsidR="00D17EC3">
        <w:rPr>
          <w:color w:val="000000" w:themeColor="text1"/>
          <w:lang w:val="en-GB"/>
        </w:rPr>
        <w:t>Contribution to the literature</w:t>
      </w:r>
    </w:p>
    <w:p w14:paraId="259FCCB8" w14:textId="56BF11A3" w:rsidR="00216E2D" w:rsidRPr="005A6E8A" w:rsidRDefault="00216E2D" w:rsidP="00216E2D">
      <w:pPr>
        <w:rPr>
          <w:color w:val="000000" w:themeColor="text1"/>
          <w:lang w:val="en-GB"/>
        </w:rPr>
      </w:pPr>
      <w:r w:rsidRPr="005A6E8A">
        <w:rPr>
          <w:color w:val="000000" w:themeColor="text1"/>
          <w:lang w:val="en-GB"/>
        </w:rPr>
        <w:t>D. </w:t>
      </w:r>
      <w:r w:rsidR="00D17EC3" w:rsidRPr="005A6E8A">
        <w:rPr>
          <w:color w:val="000000" w:themeColor="text1"/>
          <w:lang w:val="en-GB"/>
        </w:rPr>
        <w:t>What is the identification strategy? (expectable biases and ways to deal with them) </w:t>
      </w:r>
    </w:p>
    <w:p w14:paraId="7E7D77AC" w14:textId="77777777" w:rsidR="00216E2D" w:rsidRPr="005A6E8A" w:rsidRDefault="00216E2D" w:rsidP="00216E2D">
      <w:pPr>
        <w:rPr>
          <w:color w:val="000000" w:themeColor="text1"/>
          <w:lang w:val="en-GB"/>
        </w:rPr>
      </w:pPr>
      <w:r w:rsidRPr="005A6E8A">
        <w:rPr>
          <w:color w:val="000000" w:themeColor="text1"/>
          <w:lang w:val="en-GB"/>
        </w:rPr>
        <w:t>E. What are the main results? (on which variable and which specification) </w:t>
      </w:r>
    </w:p>
    <w:p w14:paraId="2E64F09B" w14:textId="77777777" w:rsidR="00216E2D" w:rsidRPr="005A6E8A" w:rsidRDefault="00216E2D" w:rsidP="00216E2D">
      <w:pPr>
        <w:rPr>
          <w:color w:val="000000" w:themeColor="text1"/>
          <w:lang w:val="en-GB"/>
        </w:rPr>
      </w:pPr>
      <w:r w:rsidRPr="005A6E8A">
        <w:rPr>
          <w:color w:val="000000" w:themeColor="text1"/>
          <w:lang w:val="en-GB"/>
        </w:rPr>
        <w:t>F. Are the results robust? (techniques and outcomes) </w:t>
      </w:r>
    </w:p>
    <w:p w14:paraId="716F2C2B" w14:textId="77777777" w:rsidR="00216E2D" w:rsidRPr="005A6E8A" w:rsidRDefault="00216E2D" w:rsidP="00216E2D">
      <w:pPr>
        <w:rPr>
          <w:color w:val="000000" w:themeColor="text1"/>
          <w:lang w:val="en-GB"/>
        </w:rPr>
      </w:pPr>
      <w:r w:rsidRPr="005A6E8A">
        <w:rPr>
          <w:color w:val="000000" w:themeColor="text1"/>
          <w:lang w:val="en-GB"/>
        </w:rPr>
        <w:t>G. Lessons and way ahead? (main implications and extensions) </w:t>
      </w:r>
    </w:p>
    <w:p w14:paraId="13A5CED9" w14:textId="77777777" w:rsidR="005A6E8A" w:rsidRDefault="005A6E8A"/>
    <w:tbl>
      <w:tblPr>
        <w:tblStyle w:val="TableGrid"/>
        <w:tblW w:w="13844" w:type="dxa"/>
        <w:tblLook w:val="04A0" w:firstRow="1" w:lastRow="0" w:firstColumn="1" w:lastColumn="0" w:noHBand="0" w:noVBand="1"/>
      </w:tblPr>
      <w:tblGrid>
        <w:gridCol w:w="1976"/>
        <w:gridCol w:w="2210"/>
        <w:gridCol w:w="2170"/>
        <w:gridCol w:w="2146"/>
        <w:gridCol w:w="2282"/>
        <w:gridCol w:w="1406"/>
        <w:gridCol w:w="1654"/>
      </w:tblGrid>
      <w:tr w:rsidR="001231DB" w:rsidRPr="00D17EC3" w14:paraId="2E93A63A" w14:textId="48BAA5B9" w:rsidTr="001231DB">
        <w:tc>
          <w:tcPr>
            <w:tcW w:w="1976" w:type="dxa"/>
          </w:tcPr>
          <w:p w14:paraId="19DBCF37" w14:textId="77777777" w:rsidR="001231DB" w:rsidRPr="00D17EC3" w:rsidRDefault="001231DB" w:rsidP="005F4BD7">
            <w:pPr>
              <w:jc w:val="center"/>
              <w:rPr>
                <w:sz w:val="18"/>
                <w:szCs w:val="18"/>
                <w:lang w:val="en-GB"/>
              </w:rPr>
            </w:pPr>
          </w:p>
        </w:tc>
        <w:tc>
          <w:tcPr>
            <w:tcW w:w="2210" w:type="dxa"/>
          </w:tcPr>
          <w:p w14:paraId="20A942CE" w14:textId="77777777" w:rsidR="001231DB" w:rsidRPr="00D17EC3" w:rsidRDefault="001231DB" w:rsidP="005F4BD7">
            <w:pPr>
              <w:jc w:val="center"/>
              <w:rPr>
                <w:sz w:val="18"/>
                <w:szCs w:val="18"/>
                <w:lang w:val="en-GB"/>
              </w:rPr>
            </w:pPr>
            <w:r w:rsidRPr="00D17EC3">
              <w:rPr>
                <w:sz w:val="18"/>
                <w:szCs w:val="18"/>
                <w:lang w:val="en-GB"/>
              </w:rPr>
              <w:t>B</w:t>
            </w:r>
          </w:p>
        </w:tc>
        <w:tc>
          <w:tcPr>
            <w:tcW w:w="2170" w:type="dxa"/>
          </w:tcPr>
          <w:p w14:paraId="187499CD" w14:textId="77777777" w:rsidR="001231DB" w:rsidRPr="00D17EC3" w:rsidRDefault="001231DB" w:rsidP="005F4BD7">
            <w:pPr>
              <w:jc w:val="center"/>
              <w:rPr>
                <w:sz w:val="18"/>
                <w:szCs w:val="18"/>
                <w:lang w:val="en-GB"/>
              </w:rPr>
            </w:pPr>
            <w:r w:rsidRPr="00D17EC3">
              <w:rPr>
                <w:sz w:val="18"/>
                <w:szCs w:val="18"/>
                <w:lang w:val="en-GB"/>
              </w:rPr>
              <w:t>C</w:t>
            </w:r>
          </w:p>
        </w:tc>
        <w:tc>
          <w:tcPr>
            <w:tcW w:w="2146" w:type="dxa"/>
          </w:tcPr>
          <w:p w14:paraId="4C3D1375" w14:textId="77777777" w:rsidR="001231DB" w:rsidRPr="00D17EC3" w:rsidRDefault="001231DB" w:rsidP="005F4BD7">
            <w:pPr>
              <w:jc w:val="center"/>
              <w:rPr>
                <w:sz w:val="18"/>
                <w:szCs w:val="18"/>
                <w:lang w:val="en-GB"/>
              </w:rPr>
            </w:pPr>
            <w:r w:rsidRPr="00D17EC3">
              <w:rPr>
                <w:sz w:val="18"/>
                <w:szCs w:val="18"/>
                <w:lang w:val="en-GB"/>
              </w:rPr>
              <w:t>D</w:t>
            </w:r>
          </w:p>
        </w:tc>
        <w:tc>
          <w:tcPr>
            <w:tcW w:w="2282" w:type="dxa"/>
          </w:tcPr>
          <w:p w14:paraId="5E203C01" w14:textId="77777777" w:rsidR="001231DB" w:rsidRPr="00D17EC3" w:rsidRDefault="001231DB" w:rsidP="005F4BD7">
            <w:pPr>
              <w:jc w:val="center"/>
              <w:rPr>
                <w:sz w:val="18"/>
                <w:szCs w:val="18"/>
                <w:lang w:val="en-GB"/>
              </w:rPr>
            </w:pPr>
            <w:r w:rsidRPr="00D17EC3">
              <w:rPr>
                <w:sz w:val="18"/>
                <w:szCs w:val="18"/>
                <w:lang w:val="en-GB"/>
              </w:rPr>
              <w:t>E</w:t>
            </w:r>
          </w:p>
        </w:tc>
        <w:tc>
          <w:tcPr>
            <w:tcW w:w="1406" w:type="dxa"/>
          </w:tcPr>
          <w:p w14:paraId="15AADDAA" w14:textId="77777777" w:rsidR="001231DB" w:rsidRPr="00D17EC3" w:rsidRDefault="001231DB" w:rsidP="005F4BD7">
            <w:pPr>
              <w:jc w:val="center"/>
              <w:rPr>
                <w:sz w:val="18"/>
                <w:szCs w:val="18"/>
                <w:lang w:val="en-GB"/>
              </w:rPr>
            </w:pPr>
            <w:r w:rsidRPr="00D17EC3">
              <w:rPr>
                <w:sz w:val="18"/>
                <w:szCs w:val="18"/>
                <w:lang w:val="en-GB"/>
              </w:rPr>
              <w:t>F</w:t>
            </w:r>
          </w:p>
        </w:tc>
        <w:tc>
          <w:tcPr>
            <w:tcW w:w="1654" w:type="dxa"/>
          </w:tcPr>
          <w:p w14:paraId="3B7488B1" w14:textId="57C6BDC4" w:rsidR="001231DB" w:rsidRPr="00D17EC3" w:rsidRDefault="001231DB" w:rsidP="005F4BD7">
            <w:pPr>
              <w:jc w:val="center"/>
              <w:rPr>
                <w:sz w:val="18"/>
                <w:szCs w:val="18"/>
                <w:lang w:val="en-GB"/>
              </w:rPr>
            </w:pPr>
            <w:r>
              <w:rPr>
                <w:sz w:val="18"/>
                <w:szCs w:val="18"/>
                <w:lang w:val="en-GB"/>
              </w:rPr>
              <w:t>Take home</w:t>
            </w:r>
          </w:p>
        </w:tc>
      </w:tr>
      <w:tr w:rsidR="001231DB" w:rsidRPr="00D17EC3" w14:paraId="78226A98" w14:textId="00ACCA04" w:rsidTr="001231DB">
        <w:tc>
          <w:tcPr>
            <w:tcW w:w="1976" w:type="dxa"/>
          </w:tcPr>
          <w:p w14:paraId="715CD7DC" w14:textId="77777777" w:rsidR="001231DB" w:rsidRPr="00D17EC3" w:rsidRDefault="001231DB" w:rsidP="005F4BD7">
            <w:pPr>
              <w:jc w:val="center"/>
              <w:rPr>
                <w:sz w:val="18"/>
                <w:szCs w:val="18"/>
                <w:lang w:val="en-GB"/>
              </w:rPr>
            </w:pPr>
            <w:proofErr w:type="spellStart"/>
            <w:r w:rsidRPr="00D17EC3">
              <w:rPr>
                <w:sz w:val="18"/>
                <w:szCs w:val="18"/>
                <w:lang w:val="en-GB"/>
              </w:rPr>
              <w:t>Ciarreta</w:t>
            </w:r>
            <w:proofErr w:type="spellEnd"/>
            <w:r w:rsidRPr="00D17EC3">
              <w:rPr>
                <w:sz w:val="18"/>
                <w:szCs w:val="18"/>
                <w:lang w:val="en-GB"/>
              </w:rPr>
              <w:t xml:space="preserve"> et al 2020</w:t>
            </w:r>
          </w:p>
        </w:tc>
        <w:tc>
          <w:tcPr>
            <w:tcW w:w="2210" w:type="dxa"/>
          </w:tcPr>
          <w:p w14:paraId="11D1F621" w14:textId="736452ED" w:rsidR="001231DB" w:rsidRPr="00D17EC3" w:rsidRDefault="001231DB" w:rsidP="005F4BD7">
            <w:pPr>
              <w:jc w:val="center"/>
              <w:rPr>
                <w:sz w:val="18"/>
                <w:szCs w:val="18"/>
                <w:lang w:val="en-GB"/>
              </w:rPr>
            </w:pPr>
            <w:r>
              <w:rPr>
                <w:sz w:val="18"/>
                <w:szCs w:val="18"/>
                <w:lang w:val="en-GB"/>
              </w:rPr>
              <w:t>Weekly day-ahead EP from 01/2002 to 12/2017 on Spanish market OMIE</w:t>
            </w:r>
          </w:p>
        </w:tc>
        <w:tc>
          <w:tcPr>
            <w:tcW w:w="2170" w:type="dxa"/>
          </w:tcPr>
          <w:p w14:paraId="3EDC1659" w14:textId="3144347D" w:rsidR="001231DB" w:rsidRPr="00D17EC3" w:rsidRDefault="001231DB" w:rsidP="005F4BD7">
            <w:pPr>
              <w:jc w:val="center"/>
              <w:rPr>
                <w:sz w:val="18"/>
                <w:szCs w:val="18"/>
                <w:lang w:val="en-GB"/>
              </w:rPr>
            </w:pPr>
            <w:r>
              <w:rPr>
                <w:sz w:val="18"/>
                <w:szCs w:val="18"/>
                <w:lang w:val="en-GB"/>
              </w:rPr>
              <w:t>Investigating effectiveness of policies on volatility</w:t>
            </w:r>
          </w:p>
        </w:tc>
        <w:tc>
          <w:tcPr>
            <w:tcW w:w="2146" w:type="dxa"/>
          </w:tcPr>
          <w:p w14:paraId="1A84231E" w14:textId="4F7EE0DA" w:rsidR="001231DB" w:rsidRPr="00D17EC3" w:rsidRDefault="001231DB" w:rsidP="00A26FD1">
            <w:pPr>
              <w:jc w:val="center"/>
              <w:rPr>
                <w:sz w:val="18"/>
                <w:szCs w:val="18"/>
                <w:lang w:val="en-GB"/>
              </w:rPr>
            </w:pPr>
            <w:r w:rsidRPr="004224C0">
              <w:rPr>
                <w:sz w:val="18"/>
                <w:szCs w:val="18"/>
                <w:lang w:val="en-GB"/>
              </w:rPr>
              <w:t>GARCH</w:t>
            </w:r>
            <w:r>
              <w:rPr>
                <w:rStyle w:val="FootnoteReference"/>
                <w:sz w:val="18"/>
                <w:szCs w:val="18"/>
                <w:lang w:val="en-GB"/>
              </w:rPr>
              <w:footnoteReference w:id="1"/>
            </w:r>
            <w:r w:rsidRPr="004224C0">
              <w:rPr>
                <w:sz w:val="18"/>
                <w:szCs w:val="18"/>
                <w:lang w:val="en-GB"/>
              </w:rPr>
              <w:t xml:space="preserve"> </w:t>
            </w:r>
            <w:r>
              <w:rPr>
                <w:sz w:val="18"/>
                <w:szCs w:val="18"/>
                <w:lang w:val="en-GB"/>
              </w:rPr>
              <w:t>since structural brakes in Spanish mar</w:t>
            </w:r>
            <w:r w:rsidR="00236AF9">
              <w:rPr>
                <w:sz w:val="18"/>
                <w:szCs w:val="18"/>
                <w:lang w:val="en-GB"/>
              </w:rPr>
              <w:t>k</w:t>
            </w:r>
            <w:r>
              <w:rPr>
                <w:sz w:val="18"/>
                <w:szCs w:val="18"/>
                <w:lang w:val="en-GB"/>
              </w:rPr>
              <w:t>et</w:t>
            </w:r>
          </w:p>
          <w:p w14:paraId="1C521D51" w14:textId="32C1602B" w:rsidR="001231DB" w:rsidRPr="00D17EC3" w:rsidRDefault="001231DB" w:rsidP="004224C0">
            <w:pPr>
              <w:jc w:val="center"/>
              <w:rPr>
                <w:sz w:val="18"/>
                <w:szCs w:val="18"/>
                <w:lang w:val="en-GB"/>
              </w:rPr>
            </w:pPr>
          </w:p>
        </w:tc>
        <w:tc>
          <w:tcPr>
            <w:tcW w:w="2282" w:type="dxa"/>
          </w:tcPr>
          <w:p w14:paraId="153B5CC2" w14:textId="77777777" w:rsidR="001231DB" w:rsidRPr="00D17EC3" w:rsidRDefault="001231DB" w:rsidP="005F4BD7">
            <w:pPr>
              <w:jc w:val="center"/>
              <w:rPr>
                <w:sz w:val="18"/>
                <w:szCs w:val="18"/>
                <w:lang w:val="en-GB"/>
              </w:rPr>
            </w:pPr>
            <w:r w:rsidRPr="00D17EC3">
              <w:rPr>
                <w:sz w:val="18"/>
                <w:szCs w:val="18"/>
                <w:lang w:val="en-GB"/>
              </w:rPr>
              <w:t>Stable regulatory policies decrease volatility even in high-share-renewables markets</w:t>
            </w:r>
          </w:p>
        </w:tc>
        <w:tc>
          <w:tcPr>
            <w:tcW w:w="1406" w:type="dxa"/>
          </w:tcPr>
          <w:p w14:paraId="21623806" w14:textId="4FD51AE9" w:rsidR="001231DB" w:rsidRPr="00D17EC3" w:rsidRDefault="001231DB" w:rsidP="005F4BD7">
            <w:pPr>
              <w:jc w:val="center"/>
              <w:rPr>
                <w:sz w:val="18"/>
                <w:szCs w:val="18"/>
                <w:lang w:val="en-GB"/>
              </w:rPr>
            </w:pPr>
            <w:r w:rsidRPr="00D17EC3">
              <w:rPr>
                <w:sz w:val="18"/>
                <w:szCs w:val="18"/>
                <w:lang w:val="en-GB"/>
              </w:rPr>
              <w:t>Acknowledged that volatility affect investments (Reverse causality)</w:t>
            </w:r>
          </w:p>
        </w:tc>
        <w:tc>
          <w:tcPr>
            <w:tcW w:w="1654" w:type="dxa"/>
          </w:tcPr>
          <w:p w14:paraId="0BC02C11" w14:textId="77777777" w:rsidR="001231DB" w:rsidRDefault="001231DB" w:rsidP="005F4BD7">
            <w:pPr>
              <w:jc w:val="center"/>
              <w:rPr>
                <w:sz w:val="18"/>
                <w:szCs w:val="18"/>
                <w:lang w:val="en-GB"/>
              </w:rPr>
            </w:pPr>
            <w:r>
              <w:rPr>
                <w:sz w:val="18"/>
                <w:szCs w:val="18"/>
                <w:lang w:val="en-GB"/>
              </w:rPr>
              <w:t>Check normality (Jarque Bera) and stationarity (ADF test) of the TS</w:t>
            </w:r>
          </w:p>
          <w:p w14:paraId="7FCEBB83" w14:textId="4A01867A" w:rsidR="001231DB" w:rsidRPr="00D17EC3" w:rsidRDefault="001231DB" w:rsidP="005F4BD7">
            <w:pPr>
              <w:jc w:val="center"/>
              <w:rPr>
                <w:sz w:val="18"/>
                <w:szCs w:val="18"/>
                <w:lang w:val="en-GB"/>
              </w:rPr>
            </w:pPr>
            <w:r>
              <w:rPr>
                <w:sz w:val="18"/>
                <w:szCs w:val="18"/>
                <w:lang w:val="en-GB"/>
              </w:rPr>
              <w:t>Seasonality due to demand (temperature)</w:t>
            </w:r>
          </w:p>
        </w:tc>
      </w:tr>
      <w:tr w:rsidR="001231DB" w:rsidRPr="00D17EC3" w14:paraId="7196EAAB" w14:textId="77777777" w:rsidTr="001231DB">
        <w:tc>
          <w:tcPr>
            <w:tcW w:w="1976" w:type="dxa"/>
          </w:tcPr>
          <w:p w14:paraId="599366C8" w14:textId="589223B7" w:rsidR="001231DB" w:rsidRPr="00D17EC3" w:rsidRDefault="001231DB" w:rsidP="005F4BD7">
            <w:pPr>
              <w:jc w:val="center"/>
              <w:rPr>
                <w:sz w:val="18"/>
                <w:szCs w:val="18"/>
                <w:lang w:val="en-GB"/>
              </w:rPr>
            </w:pPr>
            <w:r>
              <w:rPr>
                <w:sz w:val="18"/>
                <w:szCs w:val="18"/>
                <w:lang w:val="en-GB"/>
              </w:rPr>
              <w:t>Maniatis_Milonas_2022</w:t>
            </w:r>
          </w:p>
        </w:tc>
        <w:tc>
          <w:tcPr>
            <w:tcW w:w="2210" w:type="dxa"/>
          </w:tcPr>
          <w:p w14:paraId="69D8D69E" w14:textId="77777777" w:rsidR="001231DB" w:rsidRDefault="001231DB" w:rsidP="00AD19E4">
            <w:pPr>
              <w:jc w:val="center"/>
              <w:rPr>
                <w:sz w:val="18"/>
                <w:szCs w:val="18"/>
                <w:lang w:val="en-GB"/>
              </w:rPr>
            </w:pPr>
            <w:r w:rsidRPr="00AD19E4">
              <w:rPr>
                <w:sz w:val="18"/>
                <w:szCs w:val="18"/>
                <w:lang w:val="en-GB"/>
              </w:rPr>
              <w:t xml:space="preserve"> </w:t>
            </w:r>
            <w:r>
              <w:rPr>
                <w:sz w:val="18"/>
                <w:szCs w:val="18"/>
                <w:lang w:val="en-GB"/>
              </w:rPr>
              <w:t xml:space="preserve">Hourly data </w:t>
            </w:r>
            <w:r w:rsidRPr="00AD19E4">
              <w:rPr>
                <w:sz w:val="18"/>
                <w:szCs w:val="18"/>
                <w:lang w:val="en-GB"/>
              </w:rPr>
              <w:t>August 2012 to December 2018</w:t>
            </w:r>
            <w:r>
              <w:rPr>
                <w:sz w:val="18"/>
                <w:szCs w:val="18"/>
                <w:lang w:val="en-GB"/>
              </w:rPr>
              <w:t>. Transformed to daily frequency (arithmetic mean)</w:t>
            </w:r>
          </w:p>
          <w:p w14:paraId="7DCDA3F9" w14:textId="77777777" w:rsidR="001231DB" w:rsidRDefault="001231DB" w:rsidP="00AD19E4">
            <w:pPr>
              <w:jc w:val="center"/>
              <w:rPr>
                <w:sz w:val="18"/>
                <w:szCs w:val="18"/>
                <w:lang w:val="en-GB"/>
              </w:rPr>
            </w:pPr>
            <w:r w:rsidRPr="00D51E4B">
              <w:rPr>
                <w:b/>
                <w:bCs/>
                <w:sz w:val="18"/>
                <w:szCs w:val="18"/>
                <w:lang w:val="en-GB"/>
              </w:rPr>
              <w:t>Forecasted</w:t>
            </w:r>
            <w:r>
              <w:rPr>
                <w:sz w:val="18"/>
                <w:szCs w:val="18"/>
                <w:lang w:val="en-GB"/>
              </w:rPr>
              <w:t xml:space="preserve"> daily load, wind, solar</w:t>
            </w:r>
          </w:p>
          <w:p w14:paraId="06DAE19F" w14:textId="55188DF4" w:rsidR="001231DB" w:rsidRDefault="001231DB" w:rsidP="00AD19E4">
            <w:pPr>
              <w:jc w:val="center"/>
              <w:rPr>
                <w:sz w:val="18"/>
                <w:szCs w:val="18"/>
                <w:lang w:val="en-GB"/>
              </w:rPr>
            </w:pPr>
            <w:r w:rsidRPr="00236AF9">
              <w:rPr>
                <w:sz w:val="18"/>
                <w:szCs w:val="18"/>
                <w:highlight w:val="yellow"/>
                <w:lang w:val="en-GB"/>
              </w:rPr>
              <w:t>differentiate peak and off peak</w:t>
            </w:r>
          </w:p>
        </w:tc>
        <w:tc>
          <w:tcPr>
            <w:tcW w:w="2170" w:type="dxa"/>
          </w:tcPr>
          <w:p w14:paraId="160E57DF" w14:textId="47807808" w:rsidR="001231DB" w:rsidRDefault="001231DB" w:rsidP="005F4BD7">
            <w:pPr>
              <w:jc w:val="center"/>
              <w:rPr>
                <w:sz w:val="18"/>
                <w:szCs w:val="18"/>
                <w:lang w:val="en-GB"/>
              </w:rPr>
            </w:pPr>
            <w:r>
              <w:rPr>
                <w:sz w:val="18"/>
                <w:szCs w:val="18"/>
                <w:lang w:val="en-GB"/>
              </w:rPr>
              <w:t>Analyse wind and solar separately + Greek market + increase price cap</w:t>
            </w:r>
          </w:p>
        </w:tc>
        <w:tc>
          <w:tcPr>
            <w:tcW w:w="2146" w:type="dxa"/>
          </w:tcPr>
          <w:p w14:paraId="3F4DC7F3" w14:textId="7573B0C6" w:rsidR="001231DB" w:rsidRPr="004224C0" w:rsidRDefault="001231DB" w:rsidP="00A26FD1">
            <w:pPr>
              <w:jc w:val="center"/>
              <w:rPr>
                <w:sz w:val="18"/>
                <w:szCs w:val="18"/>
                <w:lang w:val="en-GB"/>
              </w:rPr>
            </w:pPr>
            <w:r>
              <w:rPr>
                <w:sz w:val="18"/>
                <w:szCs w:val="18"/>
                <w:lang w:val="en-GB"/>
              </w:rPr>
              <w:t>GARCH univariate in mean</w:t>
            </w:r>
          </w:p>
        </w:tc>
        <w:tc>
          <w:tcPr>
            <w:tcW w:w="2282" w:type="dxa"/>
          </w:tcPr>
          <w:p w14:paraId="25FC8920" w14:textId="09616B53" w:rsidR="001231DB" w:rsidRPr="00D17EC3" w:rsidRDefault="001231DB" w:rsidP="00AD19E4">
            <w:pPr>
              <w:jc w:val="center"/>
              <w:rPr>
                <w:sz w:val="18"/>
                <w:szCs w:val="18"/>
                <w:lang w:val="en-GB"/>
              </w:rPr>
            </w:pPr>
            <w:r>
              <w:rPr>
                <w:sz w:val="18"/>
                <w:szCs w:val="18"/>
                <w:lang w:val="en-GB"/>
              </w:rPr>
              <w:t>D</w:t>
            </w:r>
            <w:r w:rsidRPr="00AD19E4">
              <w:rPr>
                <w:sz w:val="18"/>
                <w:szCs w:val="18"/>
                <w:lang w:val="en-GB"/>
              </w:rPr>
              <w:t>uring peak hours, wind and solar power generation decrease price volatility</w:t>
            </w:r>
            <w:r>
              <w:rPr>
                <w:sz w:val="18"/>
                <w:szCs w:val="18"/>
                <w:lang w:val="en-GB"/>
              </w:rPr>
              <w:t>. R</w:t>
            </w:r>
            <w:r w:rsidRPr="00AD19E4">
              <w:rPr>
                <w:sz w:val="18"/>
                <w:szCs w:val="18"/>
                <w:lang w:val="en-GB"/>
              </w:rPr>
              <w:t>enewables’ output reduces the volatility of wholesale electricity prices when it is positively correlated with the electricity load.</w:t>
            </w:r>
          </w:p>
        </w:tc>
        <w:tc>
          <w:tcPr>
            <w:tcW w:w="1406" w:type="dxa"/>
          </w:tcPr>
          <w:p w14:paraId="64254DEA" w14:textId="4A8B628E" w:rsidR="001231DB" w:rsidRPr="00D17EC3" w:rsidRDefault="00B204B1" w:rsidP="005F4BD7">
            <w:pPr>
              <w:jc w:val="center"/>
              <w:rPr>
                <w:sz w:val="18"/>
                <w:szCs w:val="18"/>
                <w:lang w:val="en-GB"/>
              </w:rPr>
            </w:pPr>
            <w:r>
              <w:rPr>
                <w:color w:val="EE0000"/>
                <w:sz w:val="18"/>
                <w:szCs w:val="18"/>
                <w:lang w:val="en-GB"/>
              </w:rPr>
              <w:t>*</w:t>
            </w:r>
          </w:p>
        </w:tc>
        <w:tc>
          <w:tcPr>
            <w:tcW w:w="1654" w:type="dxa"/>
          </w:tcPr>
          <w:p w14:paraId="39CC66F7" w14:textId="77777777" w:rsidR="001231DB" w:rsidRDefault="001231DB" w:rsidP="005F4BD7">
            <w:pPr>
              <w:jc w:val="center"/>
              <w:rPr>
                <w:sz w:val="18"/>
                <w:szCs w:val="18"/>
                <w:lang w:val="en-GB"/>
              </w:rPr>
            </w:pPr>
          </w:p>
        </w:tc>
      </w:tr>
      <w:tr w:rsidR="001231DB" w:rsidRPr="00D17EC3" w14:paraId="256B5493" w14:textId="77777777" w:rsidTr="001231DB">
        <w:tc>
          <w:tcPr>
            <w:tcW w:w="1976" w:type="dxa"/>
          </w:tcPr>
          <w:p w14:paraId="0D0AA7CA" w14:textId="26E8BB56" w:rsidR="001231DB" w:rsidRDefault="001231DB" w:rsidP="005F4BD7">
            <w:pPr>
              <w:jc w:val="center"/>
              <w:rPr>
                <w:sz w:val="18"/>
                <w:szCs w:val="18"/>
                <w:lang w:val="en-GB"/>
              </w:rPr>
            </w:pPr>
            <w:r w:rsidRPr="00D63316">
              <w:rPr>
                <w:sz w:val="18"/>
                <w:szCs w:val="18"/>
                <w:lang w:val="en-GB"/>
              </w:rPr>
              <w:t>Kyritsis</w:t>
            </w:r>
            <w:r>
              <w:rPr>
                <w:sz w:val="18"/>
                <w:szCs w:val="18"/>
                <w:lang w:val="en-GB"/>
              </w:rPr>
              <w:t>_etal_2017</w:t>
            </w:r>
          </w:p>
        </w:tc>
        <w:tc>
          <w:tcPr>
            <w:tcW w:w="2210" w:type="dxa"/>
          </w:tcPr>
          <w:p w14:paraId="6CD3A38E" w14:textId="2BECD12E" w:rsidR="001231DB" w:rsidRDefault="001231DB" w:rsidP="005F4BD7">
            <w:pPr>
              <w:jc w:val="center"/>
              <w:rPr>
                <w:sz w:val="18"/>
                <w:szCs w:val="18"/>
                <w:lang w:val="en-GB"/>
              </w:rPr>
            </w:pPr>
            <w:r>
              <w:rPr>
                <w:sz w:val="18"/>
                <w:szCs w:val="18"/>
                <w:lang w:val="en-GB"/>
              </w:rPr>
              <w:t xml:space="preserve">Daily data </w:t>
            </w:r>
            <w:r w:rsidR="009143DB">
              <w:rPr>
                <w:sz w:val="18"/>
                <w:szCs w:val="18"/>
                <w:lang w:val="en-GB"/>
              </w:rPr>
              <w:t xml:space="preserve">German </w:t>
            </w:r>
            <w:r>
              <w:rPr>
                <w:sz w:val="18"/>
                <w:szCs w:val="18"/>
                <w:lang w:val="en-GB"/>
              </w:rPr>
              <w:t>2010 to 2015. Not forecasted, differentiate peak and off peak</w:t>
            </w:r>
          </w:p>
        </w:tc>
        <w:tc>
          <w:tcPr>
            <w:tcW w:w="2170" w:type="dxa"/>
          </w:tcPr>
          <w:p w14:paraId="0E36811D" w14:textId="02AF9ED0" w:rsidR="001231DB" w:rsidRDefault="001231DB" w:rsidP="005F4BD7">
            <w:pPr>
              <w:jc w:val="center"/>
              <w:rPr>
                <w:sz w:val="18"/>
                <w:szCs w:val="18"/>
                <w:lang w:val="en-GB"/>
              </w:rPr>
            </w:pPr>
            <w:r>
              <w:rPr>
                <w:sz w:val="18"/>
                <w:szCs w:val="18"/>
                <w:lang w:val="en-GB"/>
              </w:rPr>
              <w:t>Differentiate wind and solar. Capture supply and demand forces</w:t>
            </w:r>
          </w:p>
        </w:tc>
        <w:tc>
          <w:tcPr>
            <w:tcW w:w="2146" w:type="dxa"/>
          </w:tcPr>
          <w:p w14:paraId="5C03F932" w14:textId="7443D612" w:rsidR="001231DB" w:rsidRPr="004224C0" w:rsidRDefault="001231DB" w:rsidP="00A26FD1">
            <w:pPr>
              <w:jc w:val="center"/>
              <w:rPr>
                <w:sz w:val="18"/>
                <w:szCs w:val="18"/>
                <w:lang w:val="en-GB"/>
              </w:rPr>
            </w:pPr>
            <w:r>
              <w:rPr>
                <w:sz w:val="18"/>
                <w:szCs w:val="18"/>
                <w:lang w:val="en-GB"/>
              </w:rPr>
              <w:t>GARCH univariate in mean</w:t>
            </w:r>
          </w:p>
        </w:tc>
        <w:tc>
          <w:tcPr>
            <w:tcW w:w="2282" w:type="dxa"/>
          </w:tcPr>
          <w:p w14:paraId="10CB3D4A" w14:textId="77777777" w:rsidR="009143DB" w:rsidRPr="009143DB" w:rsidRDefault="009143DB" w:rsidP="009143DB">
            <w:pPr>
              <w:jc w:val="center"/>
              <w:rPr>
                <w:sz w:val="18"/>
                <w:szCs w:val="18"/>
                <w:lang w:val="en-GB"/>
              </w:rPr>
            </w:pPr>
            <w:r w:rsidRPr="009143DB">
              <w:rPr>
                <w:sz w:val="18"/>
                <w:szCs w:val="18"/>
                <w:lang w:val="en-GB"/>
              </w:rPr>
              <w:t>solar power generation reduces the volatility of electricity</w:t>
            </w:r>
          </w:p>
          <w:p w14:paraId="5FFAF634" w14:textId="77777777" w:rsidR="009143DB" w:rsidRPr="009143DB" w:rsidRDefault="009143DB" w:rsidP="009143DB">
            <w:pPr>
              <w:jc w:val="center"/>
              <w:rPr>
                <w:sz w:val="18"/>
                <w:szCs w:val="18"/>
                <w:lang w:val="en-GB"/>
              </w:rPr>
            </w:pPr>
            <w:r w:rsidRPr="009143DB">
              <w:rPr>
                <w:sz w:val="18"/>
                <w:szCs w:val="18"/>
                <w:lang w:val="en-GB"/>
              </w:rPr>
              <w:t>prices while it reduces the probability of electricity price spikes. On the</w:t>
            </w:r>
          </w:p>
          <w:p w14:paraId="39C41D2E" w14:textId="77777777" w:rsidR="009143DB" w:rsidRPr="009143DB" w:rsidRDefault="009143DB" w:rsidP="009143DB">
            <w:pPr>
              <w:jc w:val="center"/>
              <w:rPr>
                <w:sz w:val="18"/>
                <w:szCs w:val="18"/>
                <w:lang w:val="en-GB"/>
              </w:rPr>
            </w:pPr>
            <w:r w:rsidRPr="009143DB">
              <w:rPr>
                <w:sz w:val="18"/>
                <w:szCs w:val="18"/>
                <w:lang w:val="en-GB"/>
              </w:rPr>
              <w:t>other hand, wind power volatility passes through to electricity prices</w:t>
            </w:r>
          </w:p>
          <w:p w14:paraId="1F7BCDD4" w14:textId="33A043F4" w:rsidR="001231DB" w:rsidRPr="00D17EC3" w:rsidRDefault="009143DB" w:rsidP="009143DB">
            <w:pPr>
              <w:jc w:val="center"/>
              <w:rPr>
                <w:sz w:val="18"/>
                <w:szCs w:val="18"/>
                <w:lang w:val="en-GB"/>
              </w:rPr>
            </w:pPr>
            <w:r w:rsidRPr="009143DB">
              <w:rPr>
                <w:sz w:val="18"/>
                <w:szCs w:val="18"/>
                <w:lang w:val="en-GB"/>
              </w:rPr>
              <w:lastRenderedPageBreak/>
              <w:t>volatility, and introduces electricity price spikes</w:t>
            </w:r>
          </w:p>
        </w:tc>
        <w:tc>
          <w:tcPr>
            <w:tcW w:w="1406" w:type="dxa"/>
          </w:tcPr>
          <w:p w14:paraId="6B940F9C" w14:textId="77777777" w:rsidR="001231DB" w:rsidRPr="00D17EC3" w:rsidRDefault="001231DB" w:rsidP="005F4BD7">
            <w:pPr>
              <w:jc w:val="center"/>
              <w:rPr>
                <w:sz w:val="18"/>
                <w:szCs w:val="18"/>
                <w:lang w:val="en-GB"/>
              </w:rPr>
            </w:pPr>
          </w:p>
        </w:tc>
        <w:tc>
          <w:tcPr>
            <w:tcW w:w="1654" w:type="dxa"/>
          </w:tcPr>
          <w:p w14:paraId="5C4F7068" w14:textId="77777777" w:rsidR="001231DB" w:rsidRDefault="001231DB" w:rsidP="005F4BD7">
            <w:pPr>
              <w:jc w:val="center"/>
              <w:rPr>
                <w:sz w:val="18"/>
                <w:szCs w:val="18"/>
                <w:lang w:val="en-GB"/>
              </w:rPr>
            </w:pPr>
            <w:r>
              <w:rPr>
                <w:sz w:val="18"/>
                <w:szCs w:val="18"/>
                <w:lang w:val="en-GB"/>
              </w:rPr>
              <w:t>Electricity prices are always stationary. Mean reverting</w:t>
            </w:r>
          </w:p>
          <w:p w14:paraId="3785A05F" w14:textId="72C0B3D4" w:rsidR="001231DB" w:rsidRPr="006F667A" w:rsidRDefault="001231DB" w:rsidP="006F667A">
            <w:pPr>
              <w:jc w:val="center"/>
              <w:rPr>
                <w:sz w:val="18"/>
                <w:szCs w:val="18"/>
                <w:lang w:val="en-GB"/>
              </w:rPr>
            </w:pPr>
            <w:r w:rsidRPr="006F667A">
              <w:rPr>
                <w:sz w:val="18"/>
                <w:szCs w:val="18"/>
                <w:lang w:val="en-GB"/>
              </w:rPr>
              <w:t xml:space="preserve">Kwiatkowski et al. (1992) tests are used </w:t>
            </w:r>
            <w:proofErr w:type="gramStart"/>
            <w:r w:rsidRPr="006F667A">
              <w:rPr>
                <w:sz w:val="18"/>
                <w:szCs w:val="18"/>
                <w:lang w:val="en-GB"/>
              </w:rPr>
              <w:t>in order to</w:t>
            </w:r>
            <w:proofErr w:type="gramEnd"/>
            <w:r w:rsidRPr="006F667A">
              <w:rPr>
                <w:sz w:val="18"/>
                <w:szCs w:val="18"/>
                <w:lang w:val="en-GB"/>
              </w:rPr>
              <w:t xml:space="preserve"> test the</w:t>
            </w:r>
          </w:p>
          <w:p w14:paraId="53DB76D9" w14:textId="164B5468" w:rsidR="001231DB" w:rsidRPr="001231DB" w:rsidRDefault="001231DB" w:rsidP="006F667A">
            <w:pPr>
              <w:jc w:val="center"/>
              <w:rPr>
                <w:color w:val="EE0000"/>
                <w:sz w:val="18"/>
                <w:szCs w:val="18"/>
                <w:lang w:val="en-GB"/>
              </w:rPr>
            </w:pPr>
            <w:r w:rsidRPr="006F667A">
              <w:rPr>
                <w:sz w:val="18"/>
                <w:szCs w:val="18"/>
                <w:lang w:val="en-GB"/>
              </w:rPr>
              <w:lastRenderedPageBreak/>
              <w:t>null hypothesis of stationarity</w:t>
            </w:r>
            <w:r w:rsidRPr="00E83608">
              <w:rPr>
                <w:sz w:val="18"/>
                <w:szCs w:val="18"/>
                <w:highlight w:val="cyan"/>
                <w:lang w:val="en-GB"/>
              </w:rPr>
              <w:t xml:space="preserve">. </w:t>
            </w:r>
            <w:r w:rsidRPr="00E83608">
              <w:rPr>
                <w:color w:val="EE0000"/>
                <w:sz w:val="18"/>
                <w:szCs w:val="18"/>
                <w:highlight w:val="cyan"/>
                <w:lang w:val="en-GB"/>
              </w:rPr>
              <w:t>USE PENETRATION = POWER OUTPUT/LOAD</w:t>
            </w:r>
          </w:p>
        </w:tc>
      </w:tr>
      <w:tr w:rsidR="001231DB" w:rsidRPr="00D17EC3" w14:paraId="1EE5EFE0" w14:textId="77777777" w:rsidTr="001231DB">
        <w:tc>
          <w:tcPr>
            <w:tcW w:w="1976" w:type="dxa"/>
          </w:tcPr>
          <w:p w14:paraId="306C579D" w14:textId="3B7DD6B2" w:rsidR="001231DB" w:rsidRDefault="001231DB" w:rsidP="005F4BD7">
            <w:pPr>
              <w:jc w:val="center"/>
              <w:rPr>
                <w:sz w:val="18"/>
                <w:szCs w:val="18"/>
                <w:lang w:val="en-GB"/>
              </w:rPr>
            </w:pPr>
            <w:r>
              <w:rPr>
                <w:sz w:val="18"/>
                <w:szCs w:val="18"/>
                <w:lang w:val="en-GB"/>
              </w:rPr>
              <w:lastRenderedPageBreak/>
              <w:t>Rintamaki_etal_2017</w:t>
            </w:r>
          </w:p>
        </w:tc>
        <w:tc>
          <w:tcPr>
            <w:tcW w:w="2210" w:type="dxa"/>
          </w:tcPr>
          <w:p w14:paraId="1B11024A" w14:textId="77777777" w:rsidR="001231DB" w:rsidRDefault="006A0701" w:rsidP="005F4BD7">
            <w:pPr>
              <w:jc w:val="center"/>
              <w:rPr>
                <w:sz w:val="18"/>
                <w:szCs w:val="18"/>
                <w:lang w:val="en-GB"/>
              </w:rPr>
            </w:pPr>
            <w:r>
              <w:rPr>
                <w:sz w:val="18"/>
                <w:szCs w:val="18"/>
                <w:lang w:val="en-GB"/>
              </w:rPr>
              <w:t xml:space="preserve">Forecasted hourly </w:t>
            </w:r>
            <w:r w:rsidR="00F047A9">
              <w:rPr>
                <w:sz w:val="18"/>
                <w:szCs w:val="18"/>
                <w:lang w:val="en-GB"/>
              </w:rPr>
              <w:t xml:space="preserve">Wind only </w:t>
            </w:r>
            <w:r>
              <w:rPr>
                <w:sz w:val="18"/>
                <w:szCs w:val="18"/>
                <w:lang w:val="en-GB"/>
              </w:rPr>
              <w:t>Denmark and Germany</w:t>
            </w:r>
            <w:r w:rsidR="003520D4">
              <w:rPr>
                <w:sz w:val="18"/>
                <w:szCs w:val="18"/>
                <w:lang w:val="en-GB"/>
              </w:rPr>
              <w:t xml:space="preserve"> (</w:t>
            </w:r>
            <w:proofErr w:type="spellStart"/>
            <w:r w:rsidR="003520D4">
              <w:rPr>
                <w:sz w:val="18"/>
                <w:szCs w:val="18"/>
                <w:lang w:val="en-GB"/>
              </w:rPr>
              <w:t>wind+solar</w:t>
            </w:r>
            <w:proofErr w:type="spellEnd"/>
            <w:r w:rsidR="003520D4">
              <w:rPr>
                <w:sz w:val="18"/>
                <w:szCs w:val="18"/>
                <w:lang w:val="en-GB"/>
              </w:rPr>
              <w:t>)</w:t>
            </w:r>
            <w:r>
              <w:rPr>
                <w:sz w:val="18"/>
                <w:szCs w:val="18"/>
                <w:lang w:val="en-GB"/>
              </w:rPr>
              <w:t>. Forecasted load, hourly cross border flows</w:t>
            </w:r>
            <w:r w:rsidR="008C2940">
              <w:rPr>
                <w:sz w:val="18"/>
                <w:szCs w:val="18"/>
                <w:lang w:val="en-GB"/>
              </w:rPr>
              <w:t xml:space="preserve">. </w:t>
            </w:r>
          </w:p>
          <w:p w14:paraId="4769E060" w14:textId="0C0EE6AE" w:rsidR="008C2940" w:rsidRDefault="008C2940" w:rsidP="005F4BD7">
            <w:pPr>
              <w:jc w:val="center"/>
              <w:rPr>
                <w:sz w:val="18"/>
                <w:szCs w:val="18"/>
                <w:lang w:val="en-GB"/>
              </w:rPr>
            </w:pPr>
            <w:r>
              <w:rPr>
                <w:sz w:val="18"/>
                <w:szCs w:val="18"/>
                <w:lang w:val="en-GB"/>
              </w:rPr>
              <w:t>From 01/2010 to 12/2014</w:t>
            </w:r>
          </w:p>
        </w:tc>
        <w:tc>
          <w:tcPr>
            <w:tcW w:w="2170" w:type="dxa"/>
          </w:tcPr>
          <w:p w14:paraId="6F8D3413" w14:textId="77777777" w:rsidR="001231DB" w:rsidRDefault="0012556E" w:rsidP="005F4BD7">
            <w:pPr>
              <w:jc w:val="center"/>
              <w:rPr>
                <w:sz w:val="18"/>
                <w:szCs w:val="18"/>
                <w:lang w:val="en-GB"/>
              </w:rPr>
            </w:pPr>
            <w:r w:rsidRPr="00236AF9">
              <w:rPr>
                <w:sz w:val="18"/>
                <w:szCs w:val="18"/>
                <w:highlight w:val="yellow"/>
                <w:lang w:val="en-GB"/>
              </w:rPr>
              <w:t>Peak and off peak</w:t>
            </w:r>
          </w:p>
          <w:p w14:paraId="43D1A182" w14:textId="4F79B4FA" w:rsidR="00E83608" w:rsidRDefault="00E83608" w:rsidP="005F4BD7">
            <w:pPr>
              <w:jc w:val="center"/>
              <w:rPr>
                <w:sz w:val="18"/>
                <w:szCs w:val="18"/>
                <w:lang w:val="en-GB"/>
              </w:rPr>
            </w:pPr>
            <w:r w:rsidRPr="00E83608">
              <w:rPr>
                <w:sz w:val="18"/>
                <w:szCs w:val="18"/>
                <w:highlight w:val="cyan"/>
                <w:lang w:val="en-GB"/>
              </w:rPr>
              <w:t>Wind/load</w:t>
            </w:r>
          </w:p>
        </w:tc>
        <w:tc>
          <w:tcPr>
            <w:tcW w:w="2146" w:type="dxa"/>
          </w:tcPr>
          <w:p w14:paraId="5C2DE1E0" w14:textId="37026DAF" w:rsidR="001231DB" w:rsidRPr="004224C0" w:rsidRDefault="00F047A9" w:rsidP="00A26FD1">
            <w:pPr>
              <w:jc w:val="center"/>
              <w:rPr>
                <w:sz w:val="18"/>
                <w:szCs w:val="18"/>
                <w:lang w:val="en-GB"/>
              </w:rPr>
            </w:pPr>
            <w:r>
              <w:rPr>
                <w:sz w:val="18"/>
                <w:szCs w:val="18"/>
                <w:lang w:val="en-GB"/>
              </w:rPr>
              <w:t>Seasonal ARMA</w:t>
            </w:r>
          </w:p>
        </w:tc>
        <w:tc>
          <w:tcPr>
            <w:tcW w:w="2282" w:type="dxa"/>
          </w:tcPr>
          <w:p w14:paraId="292F3F4B" w14:textId="5186E5EF" w:rsidR="00057399" w:rsidRPr="00057399" w:rsidRDefault="00057399" w:rsidP="00057399">
            <w:pPr>
              <w:jc w:val="center"/>
              <w:rPr>
                <w:sz w:val="18"/>
                <w:szCs w:val="18"/>
                <w:lang w:val="en-GB"/>
              </w:rPr>
            </w:pPr>
            <w:r w:rsidRPr="00057399">
              <w:rPr>
                <w:sz w:val="18"/>
                <w:szCs w:val="18"/>
                <w:lang w:val="en-GB"/>
              </w:rPr>
              <w:t>Wind</w:t>
            </w:r>
            <w:r>
              <w:rPr>
                <w:sz w:val="18"/>
                <w:szCs w:val="18"/>
                <w:lang w:val="en-GB"/>
              </w:rPr>
              <w:t xml:space="preserve"> </w:t>
            </w:r>
            <w:r w:rsidRPr="00057399">
              <w:rPr>
                <w:sz w:val="18"/>
                <w:szCs w:val="18"/>
                <w:lang w:val="en-GB"/>
              </w:rPr>
              <w:t xml:space="preserve">power output </w:t>
            </w:r>
            <w:r>
              <w:rPr>
                <w:sz w:val="18"/>
                <w:szCs w:val="18"/>
                <w:lang w:val="en-GB"/>
              </w:rPr>
              <w:t xml:space="preserve"> d</w:t>
            </w:r>
            <w:r w:rsidRPr="00057399">
              <w:rPr>
                <w:sz w:val="18"/>
                <w:szCs w:val="18"/>
                <w:lang w:val="en-GB"/>
              </w:rPr>
              <w:t>ecreases daily price</w:t>
            </w:r>
            <w:r>
              <w:rPr>
                <w:sz w:val="18"/>
                <w:szCs w:val="18"/>
                <w:lang w:val="en-GB"/>
              </w:rPr>
              <w:t xml:space="preserve"> </w:t>
            </w:r>
            <w:r w:rsidRPr="00057399">
              <w:rPr>
                <w:sz w:val="18"/>
                <w:szCs w:val="18"/>
                <w:lang w:val="en-GB"/>
              </w:rPr>
              <w:t xml:space="preserve">volatility in Denmark </w:t>
            </w:r>
            <w:r>
              <w:rPr>
                <w:sz w:val="18"/>
                <w:szCs w:val="18"/>
                <w:lang w:val="en-GB"/>
              </w:rPr>
              <w:t>(</w:t>
            </w:r>
            <w:r w:rsidRPr="00057399">
              <w:rPr>
                <w:sz w:val="18"/>
                <w:szCs w:val="18"/>
                <w:lang w:val="en-GB"/>
              </w:rPr>
              <w:t xml:space="preserve">wind speeds are evenly </w:t>
            </w:r>
            <w:r>
              <w:rPr>
                <w:sz w:val="18"/>
                <w:szCs w:val="18"/>
                <w:lang w:val="en-GB"/>
              </w:rPr>
              <w:t>d</w:t>
            </w:r>
            <w:r w:rsidRPr="00057399">
              <w:rPr>
                <w:sz w:val="18"/>
                <w:szCs w:val="18"/>
                <w:lang w:val="en-GB"/>
              </w:rPr>
              <w:t>istributed throughout the day</w:t>
            </w:r>
            <w:r>
              <w:rPr>
                <w:sz w:val="18"/>
                <w:szCs w:val="18"/>
                <w:lang w:val="en-GB"/>
              </w:rPr>
              <w:t>) .</w:t>
            </w:r>
            <w:r w:rsidRPr="00057399">
              <w:rPr>
                <w:sz w:val="18"/>
                <w:szCs w:val="18"/>
                <w:highlight w:val="magenta"/>
                <w:lang w:val="en-GB"/>
              </w:rPr>
              <w:t xml:space="preserve">Relative to its average electricity demand, </w:t>
            </w:r>
            <w:r>
              <w:rPr>
                <w:sz w:val="18"/>
                <w:szCs w:val="18"/>
                <w:highlight w:val="magenta"/>
                <w:lang w:val="en-GB"/>
              </w:rPr>
              <w:t>D</w:t>
            </w:r>
            <w:r w:rsidRPr="00057399">
              <w:rPr>
                <w:sz w:val="18"/>
                <w:szCs w:val="18"/>
                <w:highlight w:val="magenta"/>
                <w:lang w:val="en-GB"/>
              </w:rPr>
              <w:t>enmark has high transmission</w:t>
            </w:r>
            <w:r>
              <w:rPr>
                <w:sz w:val="18"/>
                <w:szCs w:val="18"/>
                <w:highlight w:val="magenta"/>
                <w:lang w:val="en-GB"/>
              </w:rPr>
              <w:t xml:space="preserve"> </w:t>
            </w:r>
            <w:r w:rsidRPr="00057399">
              <w:rPr>
                <w:sz w:val="18"/>
                <w:szCs w:val="18"/>
                <w:highlight w:val="magenta"/>
                <w:lang w:val="en-GB"/>
              </w:rPr>
              <w:t>capacity to the Nordic countries with large hydropower</w:t>
            </w:r>
            <w:r>
              <w:rPr>
                <w:sz w:val="18"/>
                <w:szCs w:val="18"/>
                <w:highlight w:val="magenta"/>
                <w:lang w:val="en-GB"/>
              </w:rPr>
              <w:t xml:space="preserve"> </w:t>
            </w:r>
            <w:r w:rsidRPr="00057399">
              <w:rPr>
                <w:sz w:val="18"/>
                <w:szCs w:val="18"/>
                <w:highlight w:val="magenta"/>
                <w:lang w:val="en-GB"/>
              </w:rPr>
              <w:t>reservoirs</w:t>
            </w:r>
            <w:r w:rsidRPr="00057399">
              <w:rPr>
                <w:sz w:val="18"/>
                <w:szCs w:val="18"/>
                <w:lang w:val="en-GB"/>
              </w:rPr>
              <w:t>, which may also explain Denmark’s reduction in daily</w:t>
            </w:r>
            <w:r>
              <w:rPr>
                <w:sz w:val="18"/>
                <w:szCs w:val="18"/>
                <w:lang w:val="en-GB"/>
              </w:rPr>
              <w:t xml:space="preserve"> </w:t>
            </w:r>
            <w:r w:rsidRPr="00057399">
              <w:rPr>
                <w:sz w:val="18"/>
                <w:szCs w:val="18"/>
                <w:lang w:val="en-GB"/>
              </w:rPr>
              <w:t>price volatilit</w:t>
            </w:r>
            <w:r>
              <w:rPr>
                <w:sz w:val="18"/>
                <w:szCs w:val="18"/>
                <w:lang w:val="en-GB"/>
              </w:rPr>
              <w:t>y</w:t>
            </w:r>
            <w:r w:rsidRPr="00057399">
              <w:rPr>
                <w:sz w:val="18"/>
                <w:szCs w:val="18"/>
                <w:lang w:val="en-GB"/>
              </w:rPr>
              <w:t>. In Germany,</w:t>
            </w:r>
            <w:r>
              <w:rPr>
                <w:sz w:val="18"/>
                <w:szCs w:val="18"/>
                <w:lang w:val="en-GB"/>
              </w:rPr>
              <w:t xml:space="preserve"> </w:t>
            </w:r>
            <w:r w:rsidRPr="00057399">
              <w:rPr>
                <w:sz w:val="18"/>
                <w:szCs w:val="18"/>
                <w:lang w:val="en-GB"/>
              </w:rPr>
              <w:t xml:space="preserve">however, there is an increase in price </w:t>
            </w:r>
            <w:r>
              <w:rPr>
                <w:sz w:val="18"/>
                <w:szCs w:val="18"/>
                <w:lang w:val="en-GB"/>
              </w:rPr>
              <w:t>v</w:t>
            </w:r>
            <w:r w:rsidRPr="00057399">
              <w:rPr>
                <w:sz w:val="18"/>
                <w:szCs w:val="18"/>
                <w:lang w:val="en-GB"/>
              </w:rPr>
              <w:t>olatility because of greater</w:t>
            </w:r>
          </w:p>
          <w:p w14:paraId="2FAA711A" w14:textId="77777777" w:rsidR="001231DB" w:rsidRDefault="00057399" w:rsidP="00057399">
            <w:pPr>
              <w:jc w:val="center"/>
              <w:rPr>
                <w:sz w:val="18"/>
                <w:szCs w:val="18"/>
                <w:lang w:val="en-GB"/>
              </w:rPr>
            </w:pPr>
            <w:r w:rsidRPr="00057399">
              <w:rPr>
                <w:sz w:val="18"/>
                <w:szCs w:val="18"/>
                <w:lang w:val="en-GB"/>
              </w:rPr>
              <w:t>wind power output during off-peak hours. Moreover, Germany’s</w:t>
            </w:r>
            <w:r>
              <w:rPr>
                <w:sz w:val="18"/>
                <w:szCs w:val="18"/>
                <w:lang w:val="en-GB"/>
              </w:rPr>
              <w:t xml:space="preserve"> </w:t>
            </w:r>
            <w:r w:rsidRPr="00057399">
              <w:rPr>
                <w:sz w:val="18"/>
                <w:szCs w:val="18"/>
                <w:lang w:val="en-GB"/>
              </w:rPr>
              <w:t>cross-border transmission lines are smaller relative to its average</w:t>
            </w:r>
            <w:r>
              <w:rPr>
                <w:sz w:val="18"/>
                <w:szCs w:val="18"/>
                <w:lang w:val="en-GB"/>
              </w:rPr>
              <w:t xml:space="preserve"> </w:t>
            </w:r>
            <w:r w:rsidRPr="00057399">
              <w:rPr>
                <w:sz w:val="18"/>
                <w:szCs w:val="18"/>
                <w:lang w:val="en-GB"/>
              </w:rPr>
              <w:t>electricity demand, and it has limited access to flexible hydro generation.</w:t>
            </w:r>
          </w:p>
          <w:p w14:paraId="673F2C8F" w14:textId="0C323126" w:rsidR="00297753" w:rsidRPr="00D17EC3" w:rsidRDefault="00297753" w:rsidP="00057399">
            <w:pPr>
              <w:jc w:val="center"/>
              <w:rPr>
                <w:sz w:val="18"/>
                <w:szCs w:val="18"/>
                <w:lang w:val="en-GB"/>
              </w:rPr>
            </w:pPr>
            <w:r w:rsidRPr="00297753">
              <w:rPr>
                <w:color w:val="EE0000"/>
                <w:sz w:val="18"/>
                <w:szCs w:val="18"/>
                <w:lang w:val="en-GB"/>
              </w:rPr>
              <w:t>Gas prices don’t affect volatility</w:t>
            </w:r>
          </w:p>
        </w:tc>
        <w:tc>
          <w:tcPr>
            <w:tcW w:w="1406" w:type="dxa"/>
          </w:tcPr>
          <w:p w14:paraId="29675445" w14:textId="1859EA79" w:rsidR="001231DB" w:rsidRPr="00B204B1" w:rsidRDefault="00B204B1" w:rsidP="005F4BD7">
            <w:pPr>
              <w:jc w:val="center"/>
              <w:rPr>
                <w:color w:val="EE0000"/>
                <w:sz w:val="18"/>
                <w:szCs w:val="18"/>
                <w:lang w:val="en-GB"/>
              </w:rPr>
            </w:pPr>
            <w:r>
              <w:rPr>
                <w:color w:val="EE0000"/>
                <w:sz w:val="18"/>
                <w:szCs w:val="18"/>
                <w:lang w:val="en-GB"/>
              </w:rPr>
              <w:t>*</w:t>
            </w:r>
            <w:r w:rsidR="00907B18" w:rsidRPr="00B204B1">
              <w:rPr>
                <w:color w:val="EE0000"/>
                <w:sz w:val="18"/>
                <w:szCs w:val="18"/>
                <w:lang w:val="en-GB"/>
              </w:rPr>
              <w:t xml:space="preserve">Peak and off peak as defined, do not </w:t>
            </w:r>
            <w:proofErr w:type="gramStart"/>
            <w:r w:rsidR="00907B18" w:rsidRPr="00B204B1">
              <w:rPr>
                <w:color w:val="EE0000"/>
                <w:sz w:val="18"/>
                <w:szCs w:val="18"/>
                <w:lang w:val="en-GB"/>
              </w:rPr>
              <w:t>take into account</w:t>
            </w:r>
            <w:proofErr w:type="gramEnd"/>
            <w:r w:rsidR="00907B18" w:rsidRPr="00B204B1">
              <w:rPr>
                <w:color w:val="EE0000"/>
                <w:sz w:val="18"/>
                <w:szCs w:val="18"/>
                <w:lang w:val="en-GB"/>
              </w:rPr>
              <w:t xml:space="preserve"> precisely the true load </w:t>
            </w:r>
            <w:proofErr w:type="spellStart"/>
            <w:r w:rsidR="00907B18" w:rsidRPr="00B204B1">
              <w:rPr>
                <w:color w:val="EE0000"/>
                <w:sz w:val="18"/>
                <w:szCs w:val="18"/>
                <w:lang w:val="en-GB"/>
              </w:rPr>
              <w:t>curbe</w:t>
            </w:r>
            <w:proofErr w:type="spellEnd"/>
            <w:r w:rsidR="00907B18" w:rsidRPr="00B204B1">
              <w:rPr>
                <w:color w:val="EE0000"/>
                <w:sz w:val="18"/>
                <w:szCs w:val="18"/>
                <w:lang w:val="en-GB"/>
              </w:rPr>
              <w:t xml:space="preserve"> (3 peaks: morning, midday, evening)</w:t>
            </w:r>
          </w:p>
          <w:p w14:paraId="7D9D5026" w14:textId="2EB33686" w:rsidR="00907B18" w:rsidRPr="00D17EC3" w:rsidRDefault="00907B18" w:rsidP="005F4BD7">
            <w:pPr>
              <w:jc w:val="center"/>
              <w:rPr>
                <w:sz w:val="18"/>
                <w:szCs w:val="18"/>
                <w:lang w:val="en-GB"/>
              </w:rPr>
            </w:pPr>
            <w:r w:rsidRPr="00B204B1">
              <w:rPr>
                <w:color w:val="EE0000"/>
                <w:sz w:val="18"/>
                <w:szCs w:val="18"/>
                <w:lang w:val="en-GB"/>
              </w:rPr>
              <w:t xml:space="preserve">Peak or </w:t>
            </w:r>
            <w:proofErr w:type="spellStart"/>
            <w:r w:rsidRPr="00B204B1">
              <w:rPr>
                <w:color w:val="EE0000"/>
                <w:sz w:val="18"/>
                <w:szCs w:val="18"/>
                <w:lang w:val="en-GB"/>
              </w:rPr>
              <w:t>offpeak</w:t>
            </w:r>
            <w:proofErr w:type="spellEnd"/>
            <w:r w:rsidRPr="00B204B1">
              <w:rPr>
                <w:color w:val="EE0000"/>
                <w:sz w:val="18"/>
                <w:szCs w:val="18"/>
                <w:lang w:val="en-GB"/>
              </w:rPr>
              <w:t xml:space="preserve"> just defines day and night hours</w:t>
            </w:r>
          </w:p>
        </w:tc>
        <w:tc>
          <w:tcPr>
            <w:tcW w:w="1654" w:type="dxa"/>
          </w:tcPr>
          <w:p w14:paraId="2A732883" w14:textId="3BD54945" w:rsidR="001231DB" w:rsidRDefault="008C2940" w:rsidP="005F4BD7">
            <w:pPr>
              <w:jc w:val="center"/>
              <w:rPr>
                <w:sz w:val="18"/>
                <w:szCs w:val="18"/>
                <w:lang w:val="en-GB"/>
              </w:rPr>
            </w:pPr>
            <w:r>
              <w:rPr>
                <w:sz w:val="18"/>
                <w:szCs w:val="18"/>
                <w:lang w:val="en-GB"/>
              </w:rPr>
              <w:t>Replace missing values on forecasted TS with realised ones</w:t>
            </w:r>
          </w:p>
        </w:tc>
      </w:tr>
      <w:tr w:rsidR="001231DB" w:rsidRPr="00D17EC3" w14:paraId="28369F99" w14:textId="77777777" w:rsidTr="001231DB">
        <w:tc>
          <w:tcPr>
            <w:tcW w:w="1976" w:type="dxa"/>
          </w:tcPr>
          <w:p w14:paraId="0F1CCC7C" w14:textId="14B41E44" w:rsidR="001231DB" w:rsidRDefault="001231DB" w:rsidP="005F4BD7">
            <w:pPr>
              <w:jc w:val="center"/>
              <w:rPr>
                <w:sz w:val="18"/>
                <w:szCs w:val="18"/>
                <w:lang w:val="en-GB"/>
              </w:rPr>
            </w:pPr>
            <w:r>
              <w:rPr>
                <w:sz w:val="18"/>
                <w:szCs w:val="18"/>
                <w:lang w:val="en-GB"/>
              </w:rPr>
              <w:t>Tselika_2022</w:t>
            </w:r>
          </w:p>
        </w:tc>
        <w:tc>
          <w:tcPr>
            <w:tcW w:w="2210" w:type="dxa"/>
          </w:tcPr>
          <w:p w14:paraId="2D7388C2" w14:textId="77777777" w:rsidR="001231DB" w:rsidRDefault="00D27B29" w:rsidP="005F4BD7">
            <w:pPr>
              <w:jc w:val="center"/>
              <w:rPr>
                <w:sz w:val="18"/>
                <w:szCs w:val="18"/>
                <w:lang w:val="en-GB"/>
              </w:rPr>
            </w:pPr>
            <w:r>
              <w:rPr>
                <w:sz w:val="18"/>
                <w:szCs w:val="18"/>
                <w:lang w:val="en-GB"/>
              </w:rPr>
              <w:t>Danish and German hourly data from 2015 to 2020</w:t>
            </w:r>
          </w:p>
          <w:p w14:paraId="5EDD6319" w14:textId="0DD71698" w:rsidR="00153CA2" w:rsidRDefault="00153CA2" w:rsidP="005F4BD7">
            <w:pPr>
              <w:jc w:val="center"/>
              <w:rPr>
                <w:sz w:val="18"/>
                <w:szCs w:val="18"/>
                <w:lang w:val="en-GB"/>
              </w:rPr>
            </w:pPr>
            <w:r>
              <w:rPr>
                <w:sz w:val="18"/>
                <w:szCs w:val="18"/>
                <w:lang w:val="en-GB"/>
              </w:rPr>
              <w:t>Forecasted Load,</w:t>
            </w:r>
            <w:r w:rsidR="00B05C70">
              <w:rPr>
                <w:sz w:val="18"/>
                <w:szCs w:val="18"/>
                <w:lang w:val="en-GB"/>
              </w:rPr>
              <w:t xml:space="preserve"> forecasted</w:t>
            </w:r>
            <w:r>
              <w:rPr>
                <w:sz w:val="18"/>
                <w:szCs w:val="18"/>
                <w:lang w:val="en-GB"/>
              </w:rPr>
              <w:t xml:space="preserve"> wind power</w:t>
            </w:r>
          </w:p>
        </w:tc>
        <w:tc>
          <w:tcPr>
            <w:tcW w:w="2170" w:type="dxa"/>
          </w:tcPr>
          <w:p w14:paraId="6E2F9CCE" w14:textId="07E883D8" w:rsidR="001231DB" w:rsidRDefault="00D27B29" w:rsidP="005F4BD7">
            <w:pPr>
              <w:jc w:val="center"/>
              <w:rPr>
                <w:sz w:val="18"/>
                <w:szCs w:val="18"/>
                <w:lang w:val="en-GB"/>
              </w:rPr>
            </w:pPr>
            <w:r>
              <w:rPr>
                <w:sz w:val="18"/>
                <w:szCs w:val="18"/>
                <w:lang w:val="en-GB"/>
              </w:rPr>
              <w:t>Panel approach using 24 hours as panel observation. Which counts time and cross-sectional dimensions</w:t>
            </w:r>
            <w:r w:rsidR="004C44FB">
              <w:rPr>
                <w:sz w:val="18"/>
                <w:szCs w:val="18"/>
                <w:lang w:val="en-GB"/>
              </w:rPr>
              <w:t>. Abling the use of FE</w:t>
            </w:r>
          </w:p>
        </w:tc>
        <w:tc>
          <w:tcPr>
            <w:tcW w:w="2146" w:type="dxa"/>
          </w:tcPr>
          <w:p w14:paraId="339F8C2A" w14:textId="1DADC759" w:rsidR="001231DB" w:rsidRPr="004224C0" w:rsidRDefault="00A2263F" w:rsidP="00A26FD1">
            <w:pPr>
              <w:jc w:val="center"/>
              <w:rPr>
                <w:sz w:val="18"/>
                <w:szCs w:val="18"/>
                <w:lang w:val="en-GB"/>
              </w:rPr>
            </w:pPr>
            <w:r>
              <w:rPr>
                <w:sz w:val="18"/>
                <w:szCs w:val="18"/>
                <w:lang w:val="en-GB"/>
              </w:rPr>
              <w:t>Quantile regression using scale and location to estimate impact on mean on variance (dispersion)</w:t>
            </w:r>
          </w:p>
        </w:tc>
        <w:tc>
          <w:tcPr>
            <w:tcW w:w="2282" w:type="dxa"/>
          </w:tcPr>
          <w:p w14:paraId="0AD0EE85" w14:textId="13A72CBC" w:rsidR="001231DB" w:rsidRPr="00D17EC3" w:rsidRDefault="002E7D10" w:rsidP="002E7D10">
            <w:pPr>
              <w:jc w:val="center"/>
              <w:rPr>
                <w:sz w:val="18"/>
                <w:szCs w:val="18"/>
                <w:lang w:val="en-GB"/>
              </w:rPr>
            </w:pPr>
            <w:r w:rsidRPr="002E7D10">
              <w:rPr>
                <w:sz w:val="18"/>
                <w:szCs w:val="18"/>
                <w:lang w:val="en-GB"/>
              </w:rPr>
              <w:t>wind generation increases</w:t>
            </w:r>
            <w:r>
              <w:rPr>
                <w:sz w:val="18"/>
                <w:szCs w:val="18"/>
                <w:lang w:val="en-GB"/>
              </w:rPr>
              <w:t xml:space="preserve"> </w:t>
            </w:r>
            <w:r w:rsidRPr="002E7D10">
              <w:rPr>
                <w:sz w:val="18"/>
                <w:szCs w:val="18"/>
                <w:lang w:val="en-GB"/>
              </w:rPr>
              <w:t xml:space="preserve">(decreases) the occurrence of price fluctuations for low demand (high demand) in both countries. Meanwhile, in Germany, solar power stabilizes price fluctuations </w:t>
            </w:r>
            <w:r w:rsidRPr="002E7D10">
              <w:rPr>
                <w:sz w:val="18"/>
                <w:szCs w:val="18"/>
                <w:lang w:val="en-GB"/>
              </w:rPr>
              <w:lastRenderedPageBreak/>
              <w:t>for high demand levels,</w:t>
            </w:r>
            <w:r>
              <w:rPr>
                <w:sz w:val="18"/>
                <w:szCs w:val="18"/>
                <w:lang w:val="en-GB"/>
              </w:rPr>
              <w:t xml:space="preserve"> </w:t>
            </w:r>
            <w:r w:rsidRPr="002E7D10">
              <w:rPr>
                <w:sz w:val="18"/>
                <w:szCs w:val="18"/>
                <w:lang w:val="en-GB"/>
              </w:rPr>
              <w:t>stronger than wind.</w:t>
            </w:r>
          </w:p>
        </w:tc>
        <w:tc>
          <w:tcPr>
            <w:tcW w:w="1406" w:type="dxa"/>
          </w:tcPr>
          <w:p w14:paraId="0C5B0DD5" w14:textId="77777777" w:rsidR="001231DB" w:rsidRPr="00D17EC3" w:rsidRDefault="001231DB" w:rsidP="005F4BD7">
            <w:pPr>
              <w:jc w:val="center"/>
              <w:rPr>
                <w:sz w:val="18"/>
                <w:szCs w:val="18"/>
                <w:lang w:val="en-GB"/>
              </w:rPr>
            </w:pPr>
          </w:p>
        </w:tc>
        <w:tc>
          <w:tcPr>
            <w:tcW w:w="1654" w:type="dxa"/>
          </w:tcPr>
          <w:p w14:paraId="36CB16CE" w14:textId="77777777" w:rsidR="001231DB" w:rsidRDefault="001231DB" w:rsidP="005F4BD7">
            <w:pPr>
              <w:jc w:val="center"/>
              <w:rPr>
                <w:sz w:val="18"/>
                <w:szCs w:val="18"/>
                <w:lang w:val="en-GB"/>
              </w:rPr>
            </w:pPr>
          </w:p>
        </w:tc>
      </w:tr>
      <w:tr w:rsidR="001231DB" w:rsidRPr="00D17EC3" w14:paraId="17152180" w14:textId="38FC9C68" w:rsidTr="001231DB">
        <w:tc>
          <w:tcPr>
            <w:tcW w:w="1976" w:type="dxa"/>
          </w:tcPr>
          <w:p w14:paraId="5B6035CA" w14:textId="133B9543" w:rsidR="001231DB" w:rsidRPr="00D17EC3" w:rsidRDefault="001231DB" w:rsidP="005F4BD7">
            <w:pPr>
              <w:jc w:val="center"/>
              <w:rPr>
                <w:sz w:val="18"/>
                <w:szCs w:val="18"/>
                <w:lang w:val="en-GB"/>
              </w:rPr>
            </w:pPr>
            <w:proofErr w:type="spellStart"/>
            <w:r w:rsidRPr="003303DD">
              <w:rPr>
                <w:sz w:val="18"/>
                <w:szCs w:val="18"/>
                <w:lang w:val="en-GB"/>
              </w:rPr>
              <w:t>Maciejowska</w:t>
            </w:r>
            <w:proofErr w:type="spellEnd"/>
            <w:r>
              <w:rPr>
                <w:sz w:val="18"/>
                <w:szCs w:val="18"/>
                <w:lang w:val="en-GB"/>
              </w:rPr>
              <w:t xml:space="preserve"> 2020</w:t>
            </w:r>
          </w:p>
        </w:tc>
        <w:tc>
          <w:tcPr>
            <w:tcW w:w="2210" w:type="dxa"/>
          </w:tcPr>
          <w:p w14:paraId="14FC67DE" w14:textId="2C093F35" w:rsidR="001231DB" w:rsidRPr="00D17EC3" w:rsidRDefault="001231DB" w:rsidP="005F4BD7">
            <w:pPr>
              <w:jc w:val="center"/>
              <w:rPr>
                <w:sz w:val="18"/>
                <w:szCs w:val="18"/>
                <w:lang w:val="en-GB"/>
              </w:rPr>
            </w:pPr>
            <w:r>
              <w:rPr>
                <w:sz w:val="18"/>
                <w:szCs w:val="18"/>
                <w:lang w:val="en-GB"/>
              </w:rPr>
              <w:t>Hourly data ENTSOE Germany 01/2015 – 01/2018. From h to daily through mean, dividing peak (only working days) and non-peak hours</w:t>
            </w:r>
          </w:p>
        </w:tc>
        <w:tc>
          <w:tcPr>
            <w:tcW w:w="2170" w:type="dxa"/>
          </w:tcPr>
          <w:p w14:paraId="7013F990" w14:textId="77777777" w:rsidR="001231DB" w:rsidRDefault="001231DB" w:rsidP="005F4BD7">
            <w:pPr>
              <w:jc w:val="center"/>
              <w:rPr>
                <w:sz w:val="18"/>
                <w:szCs w:val="18"/>
                <w:lang w:val="en-GB"/>
              </w:rPr>
            </w:pPr>
            <w:r>
              <w:rPr>
                <w:sz w:val="18"/>
                <w:szCs w:val="18"/>
                <w:lang w:val="en-GB"/>
              </w:rPr>
              <w:t>Differentiate solar and wind</w:t>
            </w:r>
          </w:p>
          <w:p w14:paraId="0855F22A" w14:textId="77777777" w:rsidR="001231DB" w:rsidRDefault="001231DB" w:rsidP="005F4BD7">
            <w:pPr>
              <w:jc w:val="center"/>
              <w:rPr>
                <w:sz w:val="18"/>
                <w:szCs w:val="18"/>
                <w:lang w:val="en-GB"/>
              </w:rPr>
            </w:pPr>
            <w:r>
              <w:rPr>
                <w:sz w:val="18"/>
                <w:szCs w:val="18"/>
                <w:lang w:val="en-GB"/>
              </w:rPr>
              <w:t xml:space="preserve">Differentiate </w:t>
            </w:r>
            <w:r w:rsidRPr="00236AF9">
              <w:rPr>
                <w:sz w:val="18"/>
                <w:szCs w:val="18"/>
                <w:highlight w:val="yellow"/>
                <w:lang w:val="en-GB"/>
              </w:rPr>
              <w:t>peak/nonpeak</w:t>
            </w:r>
          </w:p>
          <w:p w14:paraId="32296F30" w14:textId="6230E2C6" w:rsidR="001231DB" w:rsidRPr="00D17EC3" w:rsidRDefault="001231DB" w:rsidP="005F4BD7">
            <w:pPr>
              <w:jc w:val="center"/>
              <w:rPr>
                <w:sz w:val="18"/>
                <w:szCs w:val="18"/>
                <w:lang w:val="en-GB"/>
              </w:rPr>
            </w:pPr>
            <w:r>
              <w:rPr>
                <w:sz w:val="18"/>
                <w:szCs w:val="18"/>
                <w:lang w:val="en-GB"/>
              </w:rPr>
              <w:t>Study for different level of LOAD</w:t>
            </w:r>
          </w:p>
        </w:tc>
        <w:tc>
          <w:tcPr>
            <w:tcW w:w="2146" w:type="dxa"/>
          </w:tcPr>
          <w:p w14:paraId="7A9B5F79" w14:textId="49463F4E" w:rsidR="001231DB" w:rsidRPr="00D17EC3" w:rsidRDefault="001231DB" w:rsidP="005F4BD7">
            <w:pPr>
              <w:jc w:val="center"/>
              <w:rPr>
                <w:sz w:val="18"/>
                <w:szCs w:val="18"/>
                <w:lang w:val="en-GB"/>
              </w:rPr>
            </w:pPr>
            <w:r>
              <w:rPr>
                <w:sz w:val="18"/>
                <w:szCs w:val="18"/>
                <w:lang w:val="en-GB"/>
              </w:rPr>
              <w:t xml:space="preserve">Quantile regression approach on </w:t>
            </w:r>
            <w:proofErr w:type="spellStart"/>
            <w:r>
              <w:rPr>
                <w:sz w:val="18"/>
                <w:szCs w:val="18"/>
                <w:lang w:val="en-GB"/>
              </w:rPr>
              <w:t>distrib</w:t>
            </w:r>
            <w:proofErr w:type="spellEnd"/>
            <w:r>
              <w:rPr>
                <w:sz w:val="18"/>
                <w:szCs w:val="18"/>
                <w:lang w:val="en-GB"/>
              </w:rPr>
              <w:t xml:space="preserve"> of EP</w:t>
            </w:r>
          </w:p>
        </w:tc>
        <w:tc>
          <w:tcPr>
            <w:tcW w:w="2282" w:type="dxa"/>
          </w:tcPr>
          <w:p w14:paraId="35AA9966" w14:textId="7BC5704A" w:rsidR="001231DB" w:rsidRPr="00D17EC3" w:rsidRDefault="001231DB" w:rsidP="005F4BD7">
            <w:pPr>
              <w:jc w:val="center"/>
              <w:rPr>
                <w:sz w:val="18"/>
                <w:szCs w:val="18"/>
                <w:lang w:val="en-GB"/>
              </w:rPr>
            </w:pPr>
            <w:r>
              <w:rPr>
                <w:sz w:val="18"/>
                <w:szCs w:val="18"/>
                <w:lang w:val="en-GB"/>
              </w:rPr>
              <w:t>Solar stabilises EP regardless of load (also because solar shins mostly during load hours). Wind only if load is high</w:t>
            </w:r>
          </w:p>
        </w:tc>
        <w:tc>
          <w:tcPr>
            <w:tcW w:w="1406" w:type="dxa"/>
          </w:tcPr>
          <w:p w14:paraId="6CCB9C05" w14:textId="2FF0A4C2" w:rsidR="001231DB" w:rsidRPr="00D17EC3" w:rsidRDefault="00B204B1" w:rsidP="005F4BD7">
            <w:pPr>
              <w:jc w:val="center"/>
              <w:rPr>
                <w:sz w:val="18"/>
                <w:szCs w:val="18"/>
                <w:lang w:val="en-GB"/>
              </w:rPr>
            </w:pPr>
            <w:r>
              <w:rPr>
                <w:color w:val="EE0000"/>
                <w:sz w:val="18"/>
                <w:szCs w:val="18"/>
                <w:lang w:val="en-GB"/>
              </w:rPr>
              <w:t>*</w:t>
            </w:r>
          </w:p>
        </w:tc>
        <w:tc>
          <w:tcPr>
            <w:tcW w:w="1654" w:type="dxa"/>
          </w:tcPr>
          <w:p w14:paraId="7D3B27FB" w14:textId="77777777" w:rsidR="001231DB" w:rsidRDefault="001231DB" w:rsidP="005F4BD7">
            <w:pPr>
              <w:jc w:val="center"/>
              <w:rPr>
                <w:sz w:val="18"/>
                <w:szCs w:val="18"/>
                <w:lang w:val="en-GB"/>
              </w:rPr>
            </w:pPr>
            <w:r>
              <w:rPr>
                <w:sz w:val="18"/>
                <w:szCs w:val="18"/>
                <w:lang w:val="en-GB"/>
              </w:rPr>
              <w:t>Use IQR to measure volatility (P(90% quantile)-P(10% quantile))</w:t>
            </w:r>
          </w:p>
          <w:p w14:paraId="4E0924E9" w14:textId="3A8CEF13" w:rsidR="001231DB" w:rsidRPr="00D17EC3" w:rsidRDefault="001231DB" w:rsidP="005F4BD7">
            <w:pPr>
              <w:jc w:val="center"/>
              <w:rPr>
                <w:sz w:val="18"/>
                <w:szCs w:val="18"/>
                <w:lang w:val="en-GB"/>
              </w:rPr>
            </w:pPr>
            <w:r>
              <w:rPr>
                <w:sz w:val="18"/>
                <w:szCs w:val="18"/>
                <w:lang w:val="en-GB"/>
              </w:rPr>
              <w:t>Control for LOAD</w:t>
            </w:r>
          </w:p>
        </w:tc>
      </w:tr>
      <w:tr w:rsidR="001231DB" w:rsidRPr="00D17EC3" w14:paraId="78D48C12" w14:textId="4FD9E466" w:rsidTr="001231DB">
        <w:tc>
          <w:tcPr>
            <w:tcW w:w="1976" w:type="dxa"/>
          </w:tcPr>
          <w:p w14:paraId="20B2EF63" w14:textId="1A6DADCF" w:rsidR="001231DB" w:rsidRPr="00D17EC3" w:rsidRDefault="001231DB" w:rsidP="005F4BD7">
            <w:pPr>
              <w:jc w:val="center"/>
              <w:rPr>
                <w:sz w:val="18"/>
                <w:szCs w:val="18"/>
                <w:lang w:val="en-GB"/>
              </w:rPr>
            </w:pPr>
            <w:r>
              <w:rPr>
                <w:sz w:val="18"/>
                <w:szCs w:val="18"/>
                <w:lang w:val="en-GB"/>
              </w:rPr>
              <w:t>Sapio 2019</w:t>
            </w:r>
          </w:p>
        </w:tc>
        <w:tc>
          <w:tcPr>
            <w:tcW w:w="2210" w:type="dxa"/>
          </w:tcPr>
          <w:p w14:paraId="0B96722C" w14:textId="67DB7049" w:rsidR="001231DB" w:rsidRPr="009E3431" w:rsidRDefault="001231DB" w:rsidP="005F4BD7">
            <w:pPr>
              <w:jc w:val="center"/>
              <w:rPr>
                <w:color w:val="EE0000"/>
                <w:sz w:val="18"/>
                <w:szCs w:val="18"/>
                <w:lang w:val="en-GB"/>
              </w:rPr>
            </w:pPr>
            <w:r>
              <w:rPr>
                <w:sz w:val="18"/>
                <w:szCs w:val="18"/>
                <w:lang w:val="en-GB"/>
              </w:rPr>
              <w:t xml:space="preserve">Zonal (6) wholesales EP from 09/2006 to 07/2015. Daily average from hourly values </w:t>
            </w:r>
            <w:r>
              <w:rPr>
                <w:color w:val="EE0000"/>
                <w:sz w:val="18"/>
                <w:szCs w:val="18"/>
                <w:lang w:val="en-GB"/>
              </w:rPr>
              <w:t>NO peak/</w:t>
            </w:r>
            <w:proofErr w:type="spellStart"/>
            <w:r>
              <w:rPr>
                <w:color w:val="EE0000"/>
                <w:sz w:val="18"/>
                <w:szCs w:val="18"/>
                <w:lang w:val="en-GB"/>
              </w:rPr>
              <w:t>non.peak</w:t>
            </w:r>
            <w:proofErr w:type="spellEnd"/>
            <w:r>
              <w:rPr>
                <w:color w:val="EE0000"/>
                <w:sz w:val="18"/>
                <w:szCs w:val="18"/>
                <w:lang w:val="en-GB"/>
              </w:rPr>
              <w:t xml:space="preserve"> </w:t>
            </w:r>
            <w:proofErr w:type="gramStart"/>
            <w:r>
              <w:rPr>
                <w:color w:val="EE0000"/>
                <w:sz w:val="18"/>
                <w:szCs w:val="18"/>
                <w:lang w:val="en-GB"/>
              </w:rPr>
              <w:t>taken into account</w:t>
            </w:r>
            <w:proofErr w:type="gramEnd"/>
          </w:p>
        </w:tc>
        <w:tc>
          <w:tcPr>
            <w:tcW w:w="2170" w:type="dxa"/>
          </w:tcPr>
          <w:p w14:paraId="25A6C738" w14:textId="77777777" w:rsidR="001231DB" w:rsidRPr="00D17EC3" w:rsidRDefault="001231DB" w:rsidP="005F4BD7">
            <w:pPr>
              <w:jc w:val="center"/>
              <w:rPr>
                <w:sz w:val="18"/>
                <w:szCs w:val="18"/>
                <w:lang w:val="en-GB"/>
              </w:rPr>
            </w:pPr>
          </w:p>
        </w:tc>
        <w:tc>
          <w:tcPr>
            <w:tcW w:w="2146" w:type="dxa"/>
          </w:tcPr>
          <w:p w14:paraId="44ACD481" w14:textId="04023B02" w:rsidR="001231DB" w:rsidRDefault="001231DB" w:rsidP="005F4BD7">
            <w:pPr>
              <w:jc w:val="center"/>
              <w:rPr>
                <w:sz w:val="18"/>
                <w:szCs w:val="18"/>
                <w:lang w:val="en-GB"/>
              </w:rPr>
            </w:pPr>
            <w:r>
              <w:rPr>
                <w:sz w:val="18"/>
                <w:szCs w:val="18"/>
                <w:lang w:val="en-GB"/>
              </w:rPr>
              <w:t xml:space="preserve">Quantile regression on quantiles of log of daily EP </w:t>
            </w:r>
            <w:proofErr w:type="spellStart"/>
            <w:r>
              <w:rPr>
                <w:sz w:val="18"/>
                <w:szCs w:val="18"/>
                <w:lang w:val="en-GB"/>
              </w:rPr>
              <w:t>wrt</w:t>
            </w:r>
            <w:proofErr w:type="spellEnd"/>
            <w:r>
              <w:rPr>
                <w:sz w:val="18"/>
                <w:szCs w:val="18"/>
                <w:lang w:val="en-GB"/>
              </w:rPr>
              <w:t xml:space="preserve"> demand, log fuel prices + CO2 cost, log residual supply index, log </w:t>
            </w:r>
            <w:r w:rsidRPr="00D51E4B">
              <w:rPr>
                <w:b/>
                <w:bCs/>
                <w:sz w:val="18"/>
                <w:szCs w:val="18"/>
                <w:lang w:val="en-GB"/>
              </w:rPr>
              <w:t>forecasted</w:t>
            </w:r>
            <w:r>
              <w:rPr>
                <w:sz w:val="18"/>
                <w:szCs w:val="18"/>
                <w:lang w:val="en-GB"/>
              </w:rPr>
              <w:t xml:space="preserve"> supply PV + wind and cable dummy. </w:t>
            </w:r>
          </w:p>
          <w:p w14:paraId="0A3582E4" w14:textId="77777777" w:rsidR="001231DB" w:rsidRPr="00C62DB8" w:rsidRDefault="001231DB" w:rsidP="00C62DB8">
            <w:pPr>
              <w:jc w:val="center"/>
              <w:rPr>
                <w:sz w:val="18"/>
                <w:szCs w:val="18"/>
                <w:lang w:val="en-GB"/>
              </w:rPr>
            </w:pPr>
          </w:p>
        </w:tc>
        <w:tc>
          <w:tcPr>
            <w:tcW w:w="2282" w:type="dxa"/>
          </w:tcPr>
          <w:p w14:paraId="63E56513" w14:textId="77777777" w:rsidR="001231DB" w:rsidRDefault="001231DB" w:rsidP="005F4BD7">
            <w:pPr>
              <w:jc w:val="center"/>
              <w:rPr>
                <w:sz w:val="18"/>
                <w:szCs w:val="18"/>
                <w:lang w:val="en-GB"/>
              </w:rPr>
            </w:pPr>
            <w:r>
              <w:rPr>
                <w:sz w:val="18"/>
                <w:szCs w:val="18"/>
                <w:lang w:val="en-GB"/>
              </w:rPr>
              <w:t>Confirmed merit order effect. Solar greater impact lower quantiles (EP lower already)</w:t>
            </w:r>
          </w:p>
          <w:p w14:paraId="41EB2C9C" w14:textId="1173E74B" w:rsidR="001231DB" w:rsidRPr="00D17EC3" w:rsidRDefault="001231DB" w:rsidP="005F4BD7">
            <w:pPr>
              <w:jc w:val="center"/>
              <w:rPr>
                <w:sz w:val="18"/>
                <w:szCs w:val="18"/>
                <w:lang w:val="en-GB"/>
              </w:rPr>
            </w:pPr>
            <w:r>
              <w:rPr>
                <w:sz w:val="18"/>
                <w:szCs w:val="18"/>
                <w:lang w:val="en-GB"/>
              </w:rPr>
              <w:t>Wind lower EP overall. Solar magnify volatility. Cable has lowered prices + volatility mitigation (lowered possibility to price spike)</w:t>
            </w:r>
          </w:p>
        </w:tc>
        <w:tc>
          <w:tcPr>
            <w:tcW w:w="1406" w:type="dxa"/>
          </w:tcPr>
          <w:p w14:paraId="761B36F5" w14:textId="780127AD" w:rsidR="001231DB" w:rsidRPr="00D17EC3" w:rsidRDefault="001231DB" w:rsidP="005F4BD7">
            <w:pPr>
              <w:jc w:val="center"/>
              <w:rPr>
                <w:sz w:val="18"/>
                <w:szCs w:val="18"/>
                <w:lang w:val="en-GB"/>
              </w:rPr>
            </w:pPr>
            <w:r>
              <w:rPr>
                <w:sz w:val="18"/>
                <w:szCs w:val="18"/>
                <w:lang w:val="en-GB"/>
              </w:rPr>
              <w:t>Pre-post comparison due to exogenous shock, no control group, anticipation of the cable?</w:t>
            </w:r>
            <w:r>
              <w:rPr>
                <w:sz w:val="18"/>
                <w:szCs w:val="18"/>
                <w:lang w:val="en-GB"/>
              </w:rPr>
              <w:br/>
              <w:t xml:space="preserve">Comparative case study </w:t>
            </w:r>
          </w:p>
        </w:tc>
        <w:tc>
          <w:tcPr>
            <w:tcW w:w="1654" w:type="dxa"/>
          </w:tcPr>
          <w:p w14:paraId="751BEA27" w14:textId="77777777" w:rsidR="001231DB" w:rsidRPr="00D17EC3" w:rsidRDefault="001231DB" w:rsidP="005F4BD7">
            <w:pPr>
              <w:jc w:val="center"/>
              <w:rPr>
                <w:sz w:val="18"/>
                <w:szCs w:val="18"/>
                <w:lang w:val="en-GB"/>
              </w:rPr>
            </w:pPr>
          </w:p>
        </w:tc>
      </w:tr>
      <w:tr w:rsidR="001231DB" w:rsidRPr="00D17EC3" w14:paraId="09D537D6" w14:textId="4AF2D6D9" w:rsidTr="001231DB">
        <w:tc>
          <w:tcPr>
            <w:tcW w:w="1976" w:type="dxa"/>
          </w:tcPr>
          <w:p w14:paraId="0D0E8561" w14:textId="20C5601F" w:rsidR="001231DB" w:rsidRPr="00D17EC3" w:rsidRDefault="001231DB" w:rsidP="005F4BD7">
            <w:pPr>
              <w:jc w:val="center"/>
              <w:rPr>
                <w:sz w:val="18"/>
                <w:szCs w:val="18"/>
                <w:lang w:val="en-GB"/>
              </w:rPr>
            </w:pPr>
            <w:r>
              <w:rPr>
                <w:sz w:val="18"/>
                <w:szCs w:val="18"/>
                <w:lang w:val="en-GB"/>
              </w:rPr>
              <w:t>Becker_etal_2021</w:t>
            </w:r>
          </w:p>
        </w:tc>
        <w:tc>
          <w:tcPr>
            <w:tcW w:w="2210" w:type="dxa"/>
          </w:tcPr>
          <w:p w14:paraId="011F9104" w14:textId="28FFC198" w:rsidR="001231DB" w:rsidRPr="00D17EC3" w:rsidRDefault="001231DB" w:rsidP="005F4BD7">
            <w:pPr>
              <w:jc w:val="center"/>
              <w:rPr>
                <w:sz w:val="18"/>
                <w:szCs w:val="18"/>
                <w:lang w:val="en-GB"/>
              </w:rPr>
            </w:pPr>
            <w:r>
              <w:rPr>
                <w:sz w:val="18"/>
                <w:szCs w:val="18"/>
                <w:lang w:val="en-GB"/>
              </w:rPr>
              <w:t>Yearly gasoline prices (hourly too volatile) from 2000 to 2008. 2009 is treatment and to 2018 is post treatment</w:t>
            </w:r>
          </w:p>
        </w:tc>
        <w:tc>
          <w:tcPr>
            <w:tcW w:w="2170" w:type="dxa"/>
          </w:tcPr>
          <w:p w14:paraId="330AF177" w14:textId="3EBB714C" w:rsidR="001231DB" w:rsidRPr="00D17EC3" w:rsidRDefault="001231DB" w:rsidP="005F4BD7">
            <w:pPr>
              <w:jc w:val="center"/>
              <w:rPr>
                <w:sz w:val="18"/>
                <w:szCs w:val="18"/>
                <w:lang w:val="en-GB"/>
              </w:rPr>
            </w:pPr>
            <w:r>
              <w:rPr>
                <w:sz w:val="18"/>
                <w:szCs w:val="18"/>
                <w:lang w:val="en-GB"/>
              </w:rPr>
              <w:t>Extend fuel pricing regulation using SCM</w:t>
            </w:r>
          </w:p>
        </w:tc>
        <w:tc>
          <w:tcPr>
            <w:tcW w:w="2146" w:type="dxa"/>
          </w:tcPr>
          <w:p w14:paraId="45DE1FBF" w14:textId="4C861FDD" w:rsidR="001231DB" w:rsidRPr="00D17EC3" w:rsidRDefault="001231DB" w:rsidP="005F4BD7">
            <w:pPr>
              <w:jc w:val="center"/>
              <w:rPr>
                <w:sz w:val="18"/>
                <w:szCs w:val="18"/>
                <w:lang w:val="en-GB"/>
              </w:rPr>
            </w:pPr>
            <w:r>
              <w:rPr>
                <w:sz w:val="18"/>
                <w:szCs w:val="18"/>
                <w:lang w:val="en-GB"/>
              </w:rPr>
              <w:t>SCM. Austria treated, Donor pool (11 EU countries)</w:t>
            </w:r>
          </w:p>
        </w:tc>
        <w:tc>
          <w:tcPr>
            <w:tcW w:w="2282" w:type="dxa"/>
          </w:tcPr>
          <w:p w14:paraId="7574CC98" w14:textId="1A7E5511" w:rsidR="001231DB" w:rsidRPr="00D17EC3" w:rsidRDefault="001231DB" w:rsidP="005F4BD7">
            <w:pPr>
              <w:jc w:val="center"/>
              <w:rPr>
                <w:sz w:val="18"/>
                <w:szCs w:val="18"/>
                <w:lang w:val="en-GB"/>
              </w:rPr>
            </w:pPr>
            <w:r>
              <w:rPr>
                <w:sz w:val="18"/>
                <w:szCs w:val="18"/>
                <w:lang w:val="en-GB"/>
              </w:rPr>
              <w:t>Fuel Price Fixing Act reduced prices by 23%</w:t>
            </w:r>
          </w:p>
        </w:tc>
        <w:tc>
          <w:tcPr>
            <w:tcW w:w="1406" w:type="dxa"/>
          </w:tcPr>
          <w:p w14:paraId="1CD9E273" w14:textId="77777777" w:rsidR="001231DB" w:rsidRPr="00D17EC3" w:rsidRDefault="001231DB" w:rsidP="005F4BD7">
            <w:pPr>
              <w:jc w:val="center"/>
              <w:rPr>
                <w:sz w:val="18"/>
                <w:szCs w:val="18"/>
                <w:lang w:val="en-GB"/>
              </w:rPr>
            </w:pPr>
          </w:p>
        </w:tc>
        <w:tc>
          <w:tcPr>
            <w:tcW w:w="1654" w:type="dxa"/>
          </w:tcPr>
          <w:p w14:paraId="61292643" w14:textId="77777777" w:rsidR="001231DB" w:rsidRPr="00D17EC3" w:rsidRDefault="001231DB" w:rsidP="005F4BD7">
            <w:pPr>
              <w:jc w:val="center"/>
              <w:rPr>
                <w:sz w:val="18"/>
                <w:szCs w:val="18"/>
                <w:lang w:val="en-GB"/>
              </w:rPr>
            </w:pPr>
          </w:p>
        </w:tc>
      </w:tr>
      <w:tr w:rsidR="00C224E1" w:rsidRPr="00D17EC3" w14:paraId="67DF11E7" w14:textId="77777777" w:rsidTr="001231DB">
        <w:tc>
          <w:tcPr>
            <w:tcW w:w="1976" w:type="dxa"/>
          </w:tcPr>
          <w:p w14:paraId="2143D966" w14:textId="7D4E22E7" w:rsidR="00C224E1" w:rsidRDefault="00C224E1" w:rsidP="005F4BD7">
            <w:pPr>
              <w:jc w:val="center"/>
              <w:rPr>
                <w:sz w:val="18"/>
                <w:szCs w:val="18"/>
                <w:lang w:val="en-GB"/>
              </w:rPr>
            </w:pPr>
            <w:r w:rsidRPr="00C224E1">
              <w:rPr>
                <w:sz w:val="18"/>
                <w:szCs w:val="18"/>
                <w:lang w:val="en-GB"/>
              </w:rPr>
              <w:t>Hamidreza</w:t>
            </w:r>
            <w:r>
              <w:rPr>
                <w:sz w:val="18"/>
                <w:szCs w:val="18"/>
                <w:lang w:val="en-GB"/>
              </w:rPr>
              <w:t xml:space="preserve"> et al 2007</w:t>
            </w:r>
          </w:p>
        </w:tc>
        <w:tc>
          <w:tcPr>
            <w:tcW w:w="2210" w:type="dxa"/>
          </w:tcPr>
          <w:p w14:paraId="42F7CF35" w14:textId="77777777" w:rsidR="00C224E1" w:rsidRDefault="00C224E1" w:rsidP="005F4BD7">
            <w:pPr>
              <w:jc w:val="center"/>
              <w:rPr>
                <w:sz w:val="18"/>
                <w:szCs w:val="18"/>
                <w:lang w:val="en-GB"/>
              </w:rPr>
            </w:pPr>
          </w:p>
        </w:tc>
        <w:tc>
          <w:tcPr>
            <w:tcW w:w="2170" w:type="dxa"/>
          </w:tcPr>
          <w:p w14:paraId="37D50417" w14:textId="77777777" w:rsidR="00C224E1" w:rsidRDefault="00C224E1" w:rsidP="005F4BD7">
            <w:pPr>
              <w:jc w:val="center"/>
              <w:rPr>
                <w:sz w:val="18"/>
                <w:szCs w:val="18"/>
                <w:lang w:val="en-GB"/>
              </w:rPr>
            </w:pPr>
          </w:p>
        </w:tc>
        <w:tc>
          <w:tcPr>
            <w:tcW w:w="2146" w:type="dxa"/>
          </w:tcPr>
          <w:p w14:paraId="020AA60C" w14:textId="77777777" w:rsidR="00C224E1" w:rsidRDefault="00C224E1" w:rsidP="005F4BD7">
            <w:pPr>
              <w:jc w:val="center"/>
              <w:rPr>
                <w:sz w:val="18"/>
                <w:szCs w:val="18"/>
                <w:lang w:val="en-GB"/>
              </w:rPr>
            </w:pPr>
          </w:p>
        </w:tc>
        <w:tc>
          <w:tcPr>
            <w:tcW w:w="2282" w:type="dxa"/>
          </w:tcPr>
          <w:p w14:paraId="6D90DCF8" w14:textId="77777777" w:rsidR="00C224E1" w:rsidRDefault="00C224E1" w:rsidP="005F4BD7">
            <w:pPr>
              <w:jc w:val="center"/>
              <w:rPr>
                <w:sz w:val="18"/>
                <w:szCs w:val="18"/>
                <w:lang w:val="en-GB"/>
              </w:rPr>
            </w:pPr>
          </w:p>
        </w:tc>
        <w:tc>
          <w:tcPr>
            <w:tcW w:w="1406" w:type="dxa"/>
          </w:tcPr>
          <w:p w14:paraId="697A024A" w14:textId="77777777" w:rsidR="00C224E1" w:rsidRPr="00D17EC3" w:rsidRDefault="00C224E1" w:rsidP="005F4BD7">
            <w:pPr>
              <w:jc w:val="center"/>
              <w:rPr>
                <w:sz w:val="18"/>
                <w:szCs w:val="18"/>
                <w:lang w:val="en-GB"/>
              </w:rPr>
            </w:pPr>
          </w:p>
        </w:tc>
        <w:tc>
          <w:tcPr>
            <w:tcW w:w="1654" w:type="dxa"/>
          </w:tcPr>
          <w:p w14:paraId="08B6CCE5" w14:textId="6712FF51" w:rsidR="00C224E1" w:rsidRPr="00D17EC3" w:rsidRDefault="00C224E1" w:rsidP="005F4BD7">
            <w:pPr>
              <w:jc w:val="center"/>
              <w:rPr>
                <w:sz w:val="18"/>
                <w:szCs w:val="18"/>
                <w:lang w:val="en-GB"/>
              </w:rPr>
            </w:pPr>
            <w:r>
              <w:rPr>
                <w:sz w:val="18"/>
                <w:szCs w:val="18"/>
                <w:lang w:val="en-GB"/>
              </w:rPr>
              <w:t>Measure variability of returns (log diff of prices) using 2 scenarios, daily aggregation and independent hours</w:t>
            </w:r>
          </w:p>
        </w:tc>
      </w:tr>
    </w:tbl>
    <w:p w14:paraId="083D2AE9" w14:textId="77777777" w:rsidR="00216E2D" w:rsidRDefault="00216E2D">
      <w:pPr>
        <w:spacing w:after="160" w:line="259" w:lineRule="auto"/>
      </w:pPr>
      <w:r>
        <w:t xml:space="preserve"> </w:t>
      </w:r>
    </w:p>
    <w:p w14:paraId="387405DF" w14:textId="77777777" w:rsidR="00216E2D" w:rsidRDefault="00216E2D">
      <w:pPr>
        <w:spacing w:after="160" w:line="259" w:lineRule="auto"/>
        <w:sectPr w:rsidR="00216E2D" w:rsidSect="005A6E8A">
          <w:pgSz w:w="16838" w:h="11906" w:orient="landscape"/>
          <w:pgMar w:top="1134" w:right="1417" w:bottom="1134" w:left="1134" w:header="708" w:footer="708" w:gutter="0"/>
          <w:cols w:space="708"/>
          <w:docGrid w:linePitch="360"/>
        </w:sectPr>
      </w:pPr>
    </w:p>
    <w:p w14:paraId="473490E6" w14:textId="77777777" w:rsidR="0058143C" w:rsidRDefault="0058143C" w:rsidP="0058143C">
      <w:pPr>
        <w:pStyle w:val="NoSpacing"/>
        <w:rPr>
          <w:b/>
          <w:bCs/>
          <w:lang w:val="en-GB"/>
        </w:rPr>
      </w:pPr>
      <w:r w:rsidRPr="0058143C">
        <w:rPr>
          <w:b/>
          <w:bCs/>
          <w:lang w:val="en-GB"/>
        </w:rPr>
        <w:lastRenderedPageBreak/>
        <w:t>Put in the report</w:t>
      </w:r>
    </w:p>
    <w:p w14:paraId="7DEA5254" w14:textId="77777777" w:rsidR="00F73245" w:rsidRDefault="00F73245" w:rsidP="0058143C">
      <w:pPr>
        <w:pStyle w:val="NoSpacing"/>
        <w:rPr>
          <w:b/>
          <w:bCs/>
          <w:lang w:val="en-GB"/>
        </w:rPr>
      </w:pPr>
    </w:p>
    <w:p w14:paraId="488CEC8E" w14:textId="478730A6" w:rsidR="00F73245" w:rsidRDefault="00F73245" w:rsidP="00867DE5">
      <w:pPr>
        <w:pStyle w:val="NoSpacing"/>
        <w:rPr>
          <w:b/>
          <w:bCs/>
          <w:lang w:val="en-GB"/>
        </w:rPr>
      </w:pPr>
      <w:r w:rsidRPr="00867DE5">
        <w:rPr>
          <w:b/>
          <w:bCs/>
          <w:lang w:val="en-GB"/>
        </w:rPr>
        <w:t>INTRODUCTION</w:t>
      </w:r>
    </w:p>
    <w:p w14:paraId="7DDF1E17" w14:textId="3D3B53E8" w:rsidR="00290CE4" w:rsidRDefault="00290CE4" w:rsidP="00867DE5">
      <w:pPr>
        <w:pStyle w:val="NoSpacing"/>
        <w:rPr>
          <w:lang w:val="en-GB"/>
        </w:rPr>
      </w:pPr>
      <w:hyperlink r:id="rId10" w:history="1">
        <w:r w:rsidRPr="005F738E">
          <w:rPr>
            <w:rStyle w:val="Hyperlink"/>
            <w:lang w:val="en-GB"/>
          </w:rPr>
          <w:t>https://www.iea.org/countries/estonia/electricity</w:t>
        </w:r>
      </w:hyperlink>
      <w:r>
        <w:rPr>
          <w:lang w:val="en-GB"/>
        </w:rPr>
        <w:t xml:space="preserve"> </w:t>
      </w:r>
    </w:p>
    <w:p w14:paraId="579B140A" w14:textId="527BEA77" w:rsidR="00290CE4" w:rsidRDefault="00290CE4" w:rsidP="00867DE5">
      <w:pPr>
        <w:pStyle w:val="NoSpacing"/>
        <w:rPr>
          <w:lang w:val="en-GB"/>
        </w:rPr>
      </w:pPr>
      <w:r>
        <w:rPr>
          <w:lang w:val="en-GB"/>
        </w:rPr>
        <w:t>Consumption : 8.26 TWh</w:t>
      </w:r>
    </w:p>
    <w:p w14:paraId="58B48BC7" w14:textId="481136DA" w:rsidR="00290CE4" w:rsidRDefault="00290CE4" w:rsidP="00867DE5">
      <w:pPr>
        <w:pStyle w:val="NoSpacing"/>
        <w:rPr>
          <w:lang w:val="en-GB"/>
        </w:rPr>
      </w:pPr>
      <w:r>
        <w:rPr>
          <w:lang w:val="en-GB"/>
        </w:rPr>
        <w:t>Production : 5.45 TWh Heavily reliant on imports (Coal 35% so not flexible, Biofuels 22% flexible)</w:t>
      </w:r>
    </w:p>
    <w:p w14:paraId="4F0B4F45" w14:textId="2DE9ED3B" w:rsidR="00290CE4" w:rsidRDefault="00290CE4" w:rsidP="00867DE5">
      <w:pPr>
        <w:pStyle w:val="NoSpacing"/>
        <w:rPr>
          <w:lang w:val="en-GB"/>
        </w:rPr>
      </w:pPr>
      <w:r>
        <w:rPr>
          <w:lang w:val="en-GB"/>
        </w:rPr>
        <w:t>Solar: 1 TWh</w:t>
      </w:r>
      <w:r w:rsidR="001E356F">
        <w:rPr>
          <w:lang w:val="en-GB"/>
        </w:rPr>
        <w:t xml:space="preserve"> </w:t>
      </w:r>
    </w:p>
    <w:p w14:paraId="128B159D" w14:textId="2E1F8EEB" w:rsidR="00290CE4" w:rsidRDefault="00290CE4" w:rsidP="00867DE5">
      <w:pPr>
        <w:pStyle w:val="NoSpacing"/>
        <w:rPr>
          <w:lang w:val="en-GB"/>
        </w:rPr>
      </w:pPr>
      <w:r>
        <w:rPr>
          <w:lang w:val="en-GB"/>
        </w:rPr>
        <w:t>Wind: 1.16 TWh</w:t>
      </w:r>
    </w:p>
    <w:p w14:paraId="4DFA3A51" w14:textId="77777777" w:rsidR="00681ACC" w:rsidRDefault="00681ACC" w:rsidP="00867DE5">
      <w:pPr>
        <w:pStyle w:val="NoSpacing"/>
        <w:rPr>
          <w:lang w:val="en-GB"/>
        </w:rPr>
      </w:pPr>
    </w:p>
    <w:p w14:paraId="6370077B" w14:textId="1DFC125B" w:rsidR="00681ACC" w:rsidRDefault="00681ACC" w:rsidP="00867DE5">
      <w:pPr>
        <w:pStyle w:val="NoSpacing"/>
        <w:rPr>
          <w:lang w:val="en-GB"/>
        </w:rPr>
      </w:pPr>
      <w:r>
        <w:rPr>
          <w:lang w:val="en-GB"/>
        </w:rPr>
        <w:t xml:space="preserve">Germany consumption: </w:t>
      </w:r>
      <w:hyperlink r:id="rId11" w:history="1">
        <w:r w:rsidRPr="003B4882">
          <w:rPr>
            <w:rStyle w:val="Hyperlink"/>
            <w:lang w:val="en-GB"/>
          </w:rPr>
          <w:t>https://ag-energieb</w:t>
        </w:r>
        <w:r w:rsidRPr="003B4882">
          <w:rPr>
            <w:rStyle w:val="Hyperlink"/>
            <w:lang w:val="en-GB"/>
          </w:rPr>
          <w:t>i</w:t>
        </w:r>
        <w:r w:rsidRPr="003B4882">
          <w:rPr>
            <w:rStyle w:val="Hyperlink"/>
            <w:lang w:val="en-GB"/>
          </w:rPr>
          <w:t>lanzen.de/daten-und-fakten/auswertungstabellen/</w:t>
        </w:r>
      </w:hyperlink>
      <w:r>
        <w:rPr>
          <w:lang w:val="en-GB"/>
        </w:rPr>
        <w:t xml:space="preserve"> </w:t>
      </w:r>
    </w:p>
    <w:p w14:paraId="71507C5D" w14:textId="77777777" w:rsidR="00290CE4" w:rsidRPr="00290CE4" w:rsidRDefault="00290CE4" w:rsidP="00867DE5">
      <w:pPr>
        <w:pStyle w:val="NoSpacing"/>
        <w:rPr>
          <w:lang w:val="en-GB"/>
        </w:rPr>
      </w:pPr>
    </w:p>
    <w:p w14:paraId="46A7ADD5" w14:textId="77777777" w:rsidR="0058143C" w:rsidRDefault="0058143C" w:rsidP="00867DE5">
      <w:pPr>
        <w:pStyle w:val="NoSpacing"/>
        <w:rPr>
          <w:lang w:val="en-GB"/>
        </w:rPr>
      </w:pPr>
      <w:r>
        <w:rPr>
          <w:lang w:val="en-GB"/>
        </w:rPr>
        <w:t xml:space="preserve">Electrical connection </w:t>
      </w:r>
    </w:p>
    <w:p w14:paraId="29C49BE6" w14:textId="77777777" w:rsidR="0058143C" w:rsidRDefault="0058143C" w:rsidP="00867DE5">
      <w:pPr>
        <w:pStyle w:val="NoSpacing"/>
        <w:rPr>
          <w:lang w:val="en-GB"/>
        </w:rPr>
      </w:pPr>
      <w:r>
        <w:rPr>
          <w:lang w:val="en-GB"/>
        </w:rPr>
        <w:t xml:space="preserve">EE </w:t>
      </w:r>
      <w:r w:rsidRPr="00EF4D8A">
        <w:rPr>
          <w:lang w:val="en-GB"/>
        </w:rPr>
        <w:sym w:font="Wingdings" w:char="F0E0"/>
      </w:r>
      <w:r>
        <w:rPr>
          <w:lang w:val="en-GB"/>
        </w:rPr>
        <w:t xml:space="preserve"> LV : 1447MW (LV</w:t>
      </w:r>
      <w:r w:rsidRPr="00EF4D8A">
        <w:rPr>
          <w:lang w:val="en-GB"/>
        </w:rPr>
        <w:sym w:font="Wingdings" w:char="F0E0"/>
      </w:r>
      <w:r>
        <w:rPr>
          <w:lang w:val="en-GB"/>
        </w:rPr>
        <w:t xml:space="preserve">EE : 1259MW) </w:t>
      </w:r>
      <w:hyperlink r:id="rId12" w:history="1">
        <w:r w:rsidRPr="00EF4D8A">
          <w:rPr>
            <w:rStyle w:val="Hyperlink"/>
            <w:lang w:val="en-GB"/>
          </w:rPr>
          <w:t>Source</w:t>
        </w:r>
      </w:hyperlink>
    </w:p>
    <w:p w14:paraId="769D8006" w14:textId="77777777" w:rsidR="0058143C" w:rsidRDefault="0058143C" w:rsidP="00867DE5">
      <w:pPr>
        <w:pStyle w:val="NoSpacing"/>
        <w:rPr>
          <w:lang w:val="en-GB"/>
        </w:rPr>
      </w:pPr>
      <w:r>
        <w:rPr>
          <w:lang w:val="en-GB"/>
        </w:rPr>
        <w:t xml:space="preserve">EE </w:t>
      </w:r>
      <w:r w:rsidRPr="00EF4D8A">
        <w:rPr>
          <w:lang w:val="en-GB"/>
        </w:rPr>
        <w:sym w:font="Wingdings" w:char="F0E0"/>
      </w:r>
      <w:r>
        <w:rPr>
          <w:lang w:val="en-GB"/>
        </w:rPr>
        <w:t xml:space="preserve"> FI : 350 + 650 MW </w:t>
      </w:r>
      <w:proofErr w:type="spellStart"/>
      <w:r>
        <w:rPr>
          <w:lang w:val="en-GB"/>
        </w:rPr>
        <w:t>Estlink</w:t>
      </w:r>
      <w:proofErr w:type="spellEnd"/>
      <w:r>
        <w:rPr>
          <w:lang w:val="en-GB"/>
        </w:rPr>
        <w:t xml:space="preserve"> 1 + 2 </w:t>
      </w:r>
      <w:proofErr w:type="spellStart"/>
      <w:r w:rsidRPr="00B55701">
        <w:rPr>
          <w:color w:val="EE0000"/>
          <w:lang w:val="en-GB"/>
        </w:rPr>
        <w:t>Estlink</w:t>
      </w:r>
      <w:proofErr w:type="spellEnd"/>
      <w:r w:rsidRPr="00B55701">
        <w:rPr>
          <w:color w:val="EE0000"/>
          <w:lang w:val="en-GB"/>
        </w:rPr>
        <w:t xml:space="preserve"> 2 is about 20% of the Estonian power export capacity </w:t>
      </w:r>
    </w:p>
    <w:p w14:paraId="13454C3C" w14:textId="77777777" w:rsidR="0058143C" w:rsidRDefault="0058143C" w:rsidP="00867DE5">
      <w:pPr>
        <w:pStyle w:val="NoSpacing"/>
        <w:rPr>
          <w:lang w:val="en-GB"/>
        </w:rPr>
      </w:pPr>
      <w:r>
        <w:rPr>
          <w:lang w:val="en-GB"/>
        </w:rPr>
        <w:t xml:space="preserve">EE </w:t>
      </w:r>
      <w:r w:rsidRPr="00EF4D8A">
        <w:rPr>
          <w:lang w:val="en-GB"/>
        </w:rPr>
        <w:sym w:font="Wingdings" w:char="F0E0"/>
      </w:r>
      <w:r>
        <w:rPr>
          <w:lang w:val="en-GB"/>
        </w:rPr>
        <w:t xml:space="preserve"> RU : Unknown (ENTSOE actual flows, 800MW in 2022, 738MW in 2018 mostly Narva-Leningrad) </w:t>
      </w:r>
      <w:hyperlink r:id="rId13" w:history="1">
        <w:r w:rsidRPr="00864146">
          <w:rPr>
            <w:rStyle w:val="Hyperlink"/>
            <w:lang w:val="en-GB"/>
          </w:rPr>
          <w:t>Source</w:t>
        </w:r>
      </w:hyperlink>
      <w:r>
        <w:rPr>
          <w:lang w:val="en-GB"/>
        </w:rPr>
        <w:t xml:space="preserve">  But in 2023 and 24, the exchanges were weaker at 500MW max.</w:t>
      </w:r>
    </w:p>
    <w:p w14:paraId="648A5C8E" w14:textId="77777777" w:rsidR="0058143C" w:rsidRDefault="0058143C" w:rsidP="00867DE5">
      <w:pPr>
        <w:pStyle w:val="NoSpacing"/>
        <w:rPr>
          <w:lang w:val="en-GB"/>
        </w:rPr>
      </w:pPr>
    </w:p>
    <w:p w14:paraId="2B0DADB8" w14:textId="77777777" w:rsidR="0058143C" w:rsidRDefault="0058143C" w:rsidP="00867DE5">
      <w:pPr>
        <w:pStyle w:val="NoSpacing"/>
        <w:rPr>
          <w:lang w:val="en-GB"/>
        </w:rPr>
      </w:pPr>
      <w:r>
        <w:rPr>
          <w:lang w:val="en-GB"/>
        </w:rPr>
        <w:t>Estonian renewable energy overview : In 2024 e</w:t>
      </w:r>
      <w:r w:rsidRPr="00B55701">
        <w:rPr>
          <w:lang w:val="en-GB"/>
        </w:rPr>
        <w:t xml:space="preserve">lectricity produced from renewable energy covered 39 per cent of the total consumption last year. In 2024, wind energy accounted for 34 per cent of the total production of renewable energy. In total, 1,164 gigawatt-hours of electricity were produced from wind. Compared to the previous year, wind energy production increased by 70 per </w:t>
      </w:r>
      <w:r w:rsidRPr="00254600">
        <w:rPr>
          <w:lang w:val="en-GB"/>
        </w:rPr>
        <w:t>cent. 694 megawatts of wind</w:t>
      </w:r>
      <w:r>
        <w:rPr>
          <w:lang w:val="en-GB"/>
        </w:rPr>
        <w:t>.</w:t>
      </w:r>
    </w:p>
    <w:p w14:paraId="46CE4888" w14:textId="77777777" w:rsidR="0058143C" w:rsidRDefault="0058143C" w:rsidP="00867DE5">
      <w:pPr>
        <w:pStyle w:val="NoSpacing"/>
      </w:pPr>
      <w:r w:rsidRPr="008B24B5">
        <w:rPr>
          <w:lang w:val="en-GB"/>
        </w:rPr>
        <w:t xml:space="preserve">The production of solar energy increased </w:t>
      </w:r>
      <w:r>
        <w:rPr>
          <w:lang w:val="en-GB"/>
        </w:rPr>
        <w:t xml:space="preserve">to </w:t>
      </w:r>
      <w:r w:rsidRPr="008B24B5">
        <w:rPr>
          <w:lang w:val="en-GB"/>
        </w:rPr>
        <w:t xml:space="preserve">1,005 gigawatt-hours. As at the end of the year, solar production capacity has </w:t>
      </w:r>
      <w:r>
        <w:rPr>
          <w:lang w:val="en-GB"/>
        </w:rPr>
        <w:t xml:space="preserve">counted of </w:t>
      </w:r>
      <w:r w:rsidRPr="008B24B5">
        <w:rPr>
          <w:lang w:val="en-GB"/>
        </w:rPr>
        <w:t>1,210 megawatts</w:t>
      </w:r>
      <w:r>
        <w:rPr>
          <w:lang w:val="en-GB"/>
        </w:rPr>
        <w:t xml:space="preserve"> </w:t>
      </w:r>
      <w:hyperlink r:id="rId14" w:history="1">
        <w:r w:rsidRPr="00A81721">
          <w:rPr>
            <w:rStyle w:val="Hyperlink"/>
            <w:lang w:val="en-GB"/>
          </w:rPr>
          <w:t>Source</w:t>
        </w:r>
      </w:hyperlink>
    </w:p>
    <w:p w14:paraId="72C15754" w14:textId="77777777" w:rsidR="0058143C" w:rsidRDefault="0058143C" w:rsidP="00867DE5">
      <w:pPr>
        <w:pStyle w:val="NoSpacing"/>
      </w:pPr>
    </w:p>
    <w:p w14:paraId="7E402E1E" w14:textId="77777777" w:rsidR="0058143C" w:rsidRDefault="0058143C" w:rsidP="00867DE5">
      <w:pPr>
        <w:pStyle w:val="NoSpacing"/>
        <w:rPr>
          <w:lang w:val="en-GB"/>
        </w:rPr>
      </w:pPr>
      <w:r w:rsidRPr="006C5A9B">
        <w:rPr>
          <w:lang w:val="en-GB"/>
        </w:rPr>
        <w:t>Accordingly, high price volatility due to renewables requires sufficiently high levels of renewables generation and a strong relationship between prices and the supply of conventional electricity generation</w:t>
      </w:r>
      <w:r>
        <w:rPr>
          <w:lang w:val="en-GB"/>
        </w:rPr>
        <w:t xml:space="preserve"> (Steeper supply curve)</w:t>
      </w:r>
      <w:r w:rsidRPr="006C5A9B">
        <w:rPr>
          <w:lang w:val="en-GB"/>
        </w:rPr>
        <w:t>.</w:t>
      </w:r>
      <w:r>
        <w:rPr>
          <w:lang w:val="en-GB"/>
        </w:rPr>
        <w:t xml:space="preserve"> This means that the supply will shift in case of </w:t>
      </w:r>
      <w:proofErr w:type="gramStart"/>
      <w:r>
        <w:rPr>
          <w:lang w:val="en-GB"/>
        </w:rPr>
        <w:t>intermittency</w:t>
      </w:r>
      <w:proofErr w:type="gramEnd"/>
      <w:r>
        <w:rPr>
          <w:lang w:val="en-GB"/>
        </w:rPr>
        <w:t xml:space="preserve"> and the steep supply curve will rise the price of electricity. </w:t>
      </w:r>
    </w:p>
    <w:p w14:paraId="7F3637CB" w14:textId="77777777" w:rsidR="0058143C" w:rsidRDefault="0058143C" w:rsidP="00867DE5">
      <w:pPr>
        <w:pStyle w:val="NoSpacing"/>
        <w:rPr>
          <w:lang w:val="en-GB"/>
        </w:rPr>
      </w:pPr>
    </w:p>
    <w:p w14:paraId="5E077389" w14:textId="77777777" w:rsidR="0058143C" w:rsidRPr="00C80760" w:rsidRDefault="0058143C" w:rsidP="00867DE5">
      <w:pPr>
        <w:pStyle w:val="NoSpacing"/>
        <w:rPr>
          <w:lang w:val="en-GB"/>
        </w:rPr>
      </w:pPr>
      <w:r>
        <w:rPr>
          <w:lang w:val="en-GB"/>
        </w:rPr>
        <w:t xml:space="preserve">In the intro : </w:t>
      </w:r>
      <w:r w:rsidRPr="00C80760">
        <w:rPr>
          <w:lang w:val="en-GB"/>
        </w:rPr>
        <w:t>Electricity prices reflect the physical peculiarities and economics of</w:t>
      </w:r>
      <w:r>
        <w:rPr>
          <w:lang w:val="en-GB"/>
        </w:rPr>
        <w:t xml:space="preserve"> </w:t>
      </w:r>
      <w:r w:rsidRPr="00C80760">
        <w:rPr>
          <w:lang w:val="en-GB"/>
        </w:rPr>
        <w:t>the power system as these are captured by supply and demand forces.</w:t>
      </w:r>
      <w:r>
        <w:rPr>
          <w:lang w:val="en-GB"/>
        </w:rPr>
        <w:t xml:space="preserve"> </w:t>
      </w:r>
      <w:r w:rsidRPr="00C80760">
        <w:rPr>
          <w:lang w:val="en-GB"/>
        </w:rPr>
        <w:t>On the one hand, there is the instantaneous nature of electricity and</w:t>
      </w:r>
    </w:p>
    <w:p w14:paraId="5EE8344C" w14:textId="593BABDF" w:rsidR="0058143C" w:rsidRPr="00C80760" w:rsidRDefault="0058143C" w:rsidP="00867DE5">
      <w:pPr>
        <w:pStyle w:val="NoSpacing"/>
        <w:rPr>
          <w:lang w:val="en-GB"/>
        </w:rPr>
      </w:pPr>
      <w:r w:rsidRPr="00C80760">
        <w:rPr>
          <w:lang w:val="en-GB"/>
        </w:rPr>
        <w:t>transmission constraints, and on the other the highly inelastic short</w:t>
      </w:r>
      <w:r w:rsidR="00F841AF">
        <w:rPr>
          <w:lang w:val="en-GB"/>
        </w:rPr>
        <w:t>-</w:t>
      </w:r>
      <w:r w:rsidRPr="00C80760">
        <w:rPr>
          <w:lang w:val="en-GB"/>
        </w:rPr>
        <w:t>term</w:t>
      </w:r>
      <w:r>
        <w:rPr>
          <w:lang w:val="en-GB"/>
        </w:rPr>
        <w:t xml:space="preserve"> </w:t>
      </w:r>
      <w:r w:rsidRPr="00C80760">
        <w:rPr>
          <w:lang w:val="en-GB"/>
        </w:rPr>
        <w:t>demand (</w:t>
      </w:r>
      <w:proofErr w:type="spellStart"/>
      <w:r w:rsidRPr="00C80760">
        <w:rPr>
          <w:lang w:val="en-GB"/>
        </w:rPr>
        <w:t>Sensfuss</w:t>
      </w:r>
      <w:proofErr w:type="spellEnd"/>
      <w:r w:rsidRPr="00C80760">
        <w:rPr>
          <w:lang w:val="en-GB"/>
        </w:rPr>
        <w:t xml:space="preserve"> et al., 2008) and limited economic possibilities</w:t>
      </w:r>
      <w:r>
        <w:rPr>
          <w:lang w:val="en-GB"/>
        </w:rPr>
        <w:t xml:space="preserve"> </w:t>
      </w:r>
      <w:r w:rsidRPr="00C80760">
        <w:rPr>
          <w:lang w:val="en-GB"/>
        </w:rPr>
        <w:t xml:space="preserve">of large-scale storage rendering the </w:t>
      </w:r>
      <w:r w:rsidR="00F841AF" w:rsidRPr="00C80760">
        <w:rPr>
          <w:lang w:val="en-GB"/>
        </w:rPr>
        <w:t>behaviour</w:t>
      </w:r>
      <w:r w:rsidRPr="00C80760">
        <w:rPr>
          <w:lang w:val="en-GB"/>
        </w:rPr>
        <w:t xml:space="preserve"> of electricity prices special</w:t>
      </w:r>
    </w:p>
    <w:p w14:paraId="0D2B262C" w14:textId="77777777" w:rsidR="0058143C" w:rsidRDefault="0058143C" w:rsidP="00867DE5">
      <w:pPr>
        <w:pStyle w:val="NoSpacing"/>
        <w:rPr>
          <w:lang w:val="en-GB"/>
        </w:rPr>
      </w:pPr>
      <w:r w:rsidRPr="00C80760">
        <w:rPr>
          <w:lang w:val="en-GB"/>
        </w:rPr>
        <w:t>and dynamic. Pricing</w:t>
      </w:r>
      <w:r>
        <w:rPr>
          <w:lang w:val="en-GB"/>
        </w:rPr>
        <w:t xml:space="preserve"> </w:t>
      </w:r>
    </w:p>
    <w:p w14:paraId="416A194A" w14:textId="77777777" w:rsidR="006E78F3" w:rsidRDefault="006E78F3" w:rsidP="00867DE5">
      <w:pPr>
        <w:pStyle w:val="NoSpacing"/>
        <w:rPr>
          <w:lang w:val="en-GB"/>
        </w:rPr>
      </w:pPr>
    </w:p>
    <w:p w14:paraId="1B781AA9" w14:textId="763050AF" w:rsidR="00F404E9" w:rsidRDefault="006E78F3" w:rsidP="00867DE5">
      <w:pPr>
        <w:pStyle w:val="NoSpacing"/>
        <w:rPr>
          <w:lang w:val="en-GB"/>
        </w:rPr>
      </w:pPr>
      <w:r>
        <w:rPr>
          <w:lang w:val="en-GB"/>
        </w:rPr>
        <w:t>Electricity mix Estonia</w:t>
      </w:r>
    </w:p>
    <w:p w14:paraId="733AF950" w14:textId="77777777" w:rsidR="00F404E9" w:rsidRDefault="00F404E9" w:rsidP="00867DE5">
      <w:pPr>
        <w:pStyle w:val="NoSpacing"/>
        <w:rPr>
          <w:lang w:val="en-GB"/>
        </w:rPr>
      </w:pPr>
    </w:p>
    <w:p w14:paraId="72CD0D2B" w14:textId="4470928E" w:rsidR="00F404E9" w:rsidRDefault="00F404E9" w:rsidP="00867DE5">
      <w:pPr>
        <w:pStyle w:val="NoSpacing"/>
        <w:rPr>
          <w:lang w:val="en-GB"/>
        </w:rPr>
      </w:pPr>
      <w:r w:rsidRPr="00F404E9">
        <w:rPr>
          <w:lang w:val="en-GB"/>
        </w:rPr>
        <w:t>The main advantage of using a quantile regression model is its ability to examine the relationship between electricity prices and RES across the entire price distribution</w:t>
      </w:r>
      <w:r w:rsidR="006A5D98">
        <w:rPr>
          <w:lang w:val="en-GB"/>
        </w:rPr>
        <w:t xml:space="preserve">. </w:t>
      </w:r>
      <w:r w:rsidR="006A5D98" w:rsidRPr="006A5D98">
        <w:rPr>
          <w:lang w:val="en-GB"/>
        </w:rPr>
        <w:t>flexibility. Bunn et al. (2016) highlight the advantages of using quantile regression to explore power prices, characterizing it as a semi-parametric method that allows the inclusion of fundamental variables. They also state that it could be used as an alternative methodology to regime-switching models. Furthermore, quantile regression does not assume a parametric distributional form for the error term (Davino et al., 2013) and allows the investigation of nonlinear relationships among variables.</w:t>
      </w:r>
      <w:r w:rsidR="006A5D98">
        <w:rPr>
          <w:lang w:val="en-GB"/>
        </w:rPr>
        <w:t xml:space="preserve"> From </w:t>
      </w:r>
      <w:proofErr w:type="spellStart"/>
      <w:r w:rsidR="006A5D98">
        <w:rPr>
          <w:lang w:val="en-GB"/>
        </w:rPr>
        <w:t>Tselika</w:t>
      </w:r>
      <w:proofErr w:type="spellEnd"/>
      <w:r w:rsidR="006A5D98">
        <w:rPr>
          <w:lang w:val="en-GB"/>
        </w:rPr>
        <w:t xml:space="preserve"> 2022</w:t>
      </w:r>
    </w:p>
    <w:p w14:paraId="78D7D0BC" w14:textId="77777777" w:rsidR="00F73245" w:rsidRDefault="00F73245" w:rsidP="00867DE5">
      <w:pPr>
        <w:pStyle w:val="NoSpacing"/>
        <w:rPr>
          <w:lang w:val="en-GB"/>
        </w:rPr>
      </w:pPr>
    </w:p>
    <w:p w14:paraId="79C221B6" w14:textId="78A974BE" w:rsidR="00F73245" w:rsidRPr="00867DE5" w:rsidRDefault="00F73245" w:rsidP="00867DE5">
      <w:pPr>
        <w:pStyle w:val="NoSpacing"/>
        <w:rPr>
          <w:b/>
          <w:bCs/>
          <w:lang w:val="en-GB"/>
        </w:rPr>
      </w:pPr>
      <w:r w:rsidRPr="00867DE5">
        <w:rPr>
          <w:b/>
          <w:bCs/>
          <w:lang w:val="en-GB"/>
        </w:rPr>
        <w:t>LITERATURE</w:t>
      </w:r>
    </w:p>
    <w:p w14:paraId="7E2A2087" w14:textId="77777777" w:rsidR="00B169EC" w:rsidRDefault="00F73245" w:rsidP="00867DE5">
      <w:pPr>
        <w:pStyle w:val="NoSpacing"/>
        <w:rPr>
          <w:color w:val="000000" w:themeColor="text1"/>
          <w:lang w:val="en-GB"/>
        </w:rPr>
      </w:pPr>
      <w:r w:rsidRPr="001414BA">
        <w:rPr>
          <w:color w:val="000000" w:themeColor="text1"/>
          <w:lang w:val="en-GB"/>
        </w:rPr>
        <w:t>1</w:t>
      </w:r>
      <w:r w:rsidRPr="001414BA">
        <w:rPr>
          <w:color w:val="000000" w:themeColor="text1"/>
          <w:vertAlign w:val="superscript"/>
          <w:lang w:val="en-GB"/>
        </w:rPr>
        <w:t>st</w:t>
      </w:r>
      <w:r w:rsidRPr="001414BA">
        <w:rPr>
          <w:color w:val="000000" w:themeColor="text1"/>
          <w:lang w:val="en-GB"/>
        </w:rPr>
        <w:t xml:space="preserve"> put contribution </w:t>
      </w:r>
    </w:p>
    <w:p w14:paraId="7B7B849E" w14:textId="18F3AF7B" w:rsidR="00F047A9" w:rsidRDefault="00F047A9" w:rsidP="00867DE5">
      <w:pPr>
        <w:pStyle w:val="NoSpacing"/>
        <w:rPr>
          <w:color w:val="EE0000"/>
          <w:lang w:val="en-GB"/>
        </w:rPr>
      </w:pPr>
      <w:r>
        <w:rPr>
          <w:color w:val="000000" w:themeColor="text1"/>
          <w:lang w:val="en-GB"/>
        </w:rPr>
        <w:t>2 branches: exploiting time series techniques (SARMA and GARCH)</w:t>
      </w:r>
      <w:r w:rsidR="005B3589">
        <w:rPr>
          <w:color w:val="000000" w:themeColor="text1"/>
          <w:lang w:val="en-GB"/>
        </w:rPr>
        <w:t xml:space="preserve"> and quantile regression</w:t>
      </w:r>
      <w:r w:rsidR="0067388F">
        <w:rPr>
          <w:color w:val="000000" w:themeColor="text1"/>
          <w:lang w:val="en-GB"/>
        </w:rPr>
        <w:t xml:space="preserve"> </w:t>
      </w:r>
      <w:r w:rsidR="0067388F" w:rsidRPr="0075767B">
        <w:rPr>
          <w:color w:val="EE0000"/>
          <w:lang w:val="en-GB"/>
        </w:rPr>
        <w:t>CHECK WHETHER BOTH METHODS GIVE SAME RESULTS</w:t>
      </w:r>
      <w:r w:rsidR="00B967A9">
        <w:rPr>
          <w:color w:val="EE0000"/>
          <w:lang w:val="en-GB"/>
        </w:rPr>
        <w:t xml:space="preserve">. TSELIKA test the two!! </w:t>
      </w:r>
    </w:p>
    <w:p w14:paraId="5115CF25" w14:textId="77777777" w:rsidR="00057399" w:rsidRDefault="00057399" w:rsidP="00867DE5">
      <w:pPr>
        <w:pStyle w:val="NoSpacing"/>
        <w:rPr>
          <w:color w:val="EE0000"/>
          <w:lang w:val="en-GB"/>
        </w:rPr>
      </w:pPr>
    </w:p>
    <w:p w14:paraId="6309D90E" w14:textId="0C951323" w:rsidR="00057399" w:rsidRDefault="00057399" w:rsidP="00867DE5">
      <w:pPr>
        <w:pStyle w:val="NoSpacing"/>
        <w:rPr>
          <w:color w:val="000000" w:themeColor="text1"/>
          <w:sz w:val="18"/>
          <w:szCs w:val="18"/>
          <w:lang w:val="en-GB"/>
        </w:rPr>
      </w:pPr>
      <w:proofErr w:type="spellStart"/>
      <w:r w:rsidRPr="00057399">
        <w:rPr>
          <w:color w:val="000000" w:themeColor="text1"/>
          <w:lang w:val="en-GB"/>
        </w:rPr>
        <w:t>Rintamaky</w:t>
      </w:r>
      <w:proofErr w:type="spellEnd"/>
      <w:r w:rsidR="002113DC">
        <w:rPr>
          <w:color w:val="000000" w:themeColor="text1"/>
          <w:lang w:val="en-GB"/>
        </w:rPr>
        <w:t xml:space="preserve">, </w:t>
      </w:r>
      <w:proofErr w:type="spellStart"/>
      <w:r w:rsidR="002113DC">
        <w:rPr>
          <w:color w:val="000000" w:themeColor="text1"/>
          <w:lang w:val="en-GB"/>
        </w:rPr>
        <w:t>Tselika</w:t>
      </w:r>
      <w:proofErr w:type="spellEnd"/>
      <w:r w:rsidR="002113DC">
        <w:rPr>
          <w:color w:val="000000" w:themeColor="text1"/>
          <w:lang w:val="en-GB"/>
        </w:rPr>
        <w:t xml:space="preserve"> </w:t>
      </w:r>
      <w:r w:rsidRPr="00057399">
        <w:rPr>
          <w:color w:val="000000" w:themeColor="text1"/>
          <w:lang w:val="en-GB"/>
        </w:rPr>
        <w:t xml:space="preserve">and </w:t>
      </w:r>
      <w:r w:rsidRPr="00057399">
        <w:rPr>
          <w:color w:val="000000" w:themeColor="text1"/>
          <w:sz w:val="18"/>
          <w:szCs w:val="18"/>
          <w:lang w:val="en-GB"/>
        </w:rPr>
        <w:t>Kyritsis argue on the importance of flexible and well-connected grid</w:t>
      </w:r>
    </w:p>
    <w:p w14:paraId="42ED1EBF" w14:textId="77777777" w:rsidR="00B72B3B" w:rsidRDefault="00B72B3B" w:rsidP="00867DE5">
      <w:pPr>
        <w:pStyle w:val="NoSpacing"/>
        <w:rPr>
          <w:color w:val="000000" w:themeColor="text1"/>
          <w:sz w:val="18"/>
          <w:szCs w:val="18"/>
          <w:lang w:val="en-GB"/>
        </w:rPr>
      </w:pPr>
    </w:p>
    <w:p w14:paraId="1E9D03AD" w14:textId="6655E9B9" w:rsidR="00B72B3B" w:rsidRPr="00057399" w:rsidRDefault="00B72B3B" w:rsidP="00867DE5">
      <w:pPr>
        <w:pStyle w:val="NoSpacing"/>
        <w:rPr>
          <w:color w:val="000000" w:themeColor="text1"/>
          <w:lang w:val="en-GB"/>
        </w:rPr>
      </w:pPr>
      <w:r>
        <w:rPr>
          <w:color w:val="000000" w:themeColor="text1"/>
          <w:sz w:val="18"/>
          <w:szCs w:val="18"/>
          <w:lang w:val="en-GB"/>
        </w:rPr>
        <w:t xml:space="preserve">Basically, high volatility if RES produces off peak and no storage/transmission line availability. Low volatility if RES are synchronised on peak and </w:t>
      </w:r>
      <w:proofErr w:type="gramStart"/>
      <w:r>
        <w:rPr>
          <w:color w:val="000000" w:themeColor="text1"/>
          <w:sz w:val="18"/>
          <w:szCs w:val="18"/>
          <w:lang w:val="en-GB"/>
        </w:rPr>
        <w:t>off peak</w:t>
      </w:r>
      <w:proofErr w:type="gramEnd"/>
      <w:r>
        <w:rPr>
          <w:color w:val="000000" w:themeColor="text1"/>
          <w:sz w:val="18"/>
          <w:szCs w:val="18"/>
          <w:lang w:val="en-GB"/>
        </w:rPr>
        <w:t xml:space="preserve"> periods or grid is flexible. </w:t>
      </w:r>
      <w:r w:rsidR="00E640FF">
        <w:rPr>
          <w:color w:val="000000" w:themeColor="text1"/>
          <w:sz w:val="18"/>
          <w:szCs w:val="18"/>
          <w:lang w:val="en-GB"/>
        </w:rPr>
        <w:t xml:space="preserve">OR </w:t>
      </w:r>
      <w:r w:rsidR="00E640FF" w:rsidRPr="00E640FF">
        <w:rPr>
          <w:color w:val="000000" w:themeColor="text1"/>
          <w:sz w:val="18"/>
          <w:szCs w:val="18"/>
          <w:lang w:val="en-GB"/>
        </w:rPr>
        <w:t>when the market struggles to accommodate the fluctuating supply by renewable generation due to lack of flexibility (storage capacity, etc.), we would anticipate the effect from RES intermittent generation to vary when demand is low (high</w:t>
      </w:r>
      <w:proofErr w:type="gramStart"/>
      <w:r w:rsidR="00E640FF" w:rsidRPr="00E640FF">
        <w:rPr>
          <w:color w:val="000000" w:themeColor="text1"/>
          <w:sz w:val="18"/>
          <w:szCs w:val="18"/>
          <w:lang w:val="en-GB"/>
        </w:rPr>
        <w:t>)</w:t>
      </w:r>
      <w:proofErr w:type="gramEnd"/>
      <w:r w:rsidR="00E640FF" w:rsidRPr="00E640FF">
        <w:rPr>
          <w:color w:val="000000" w:themeColor="text1"/>
          <w:sz w:val="18"/>
          <w:szCs w:val="18"/>
          <w:lang w:val="en-GB"/>
        </w:rPr>
        <w:t xml:space="preserve"> and renewable sources supply is high (low).</w:t>
      </w:r>
    </w:p>
    <w:p w14:paraId="18D5356B" w14:textId="77777777" w:rsidR="00867DE5" w:rsidRDefault="00867DE5" w:rsidP="00867DE5">
      <w:pPr>
        <w:pStyle w:val="NoSpacing"/>
        <w:rPr>
          <w:color w:val="EE0000"/>
          <w:lang w:val="en-GB"/>
        </w:rPr>
      </w:pPr>
    </w:p>
    <w:p w14:paraId="229A8066" w14:textId="77777777" w:rsidR="00B169EC" w:rsidRDefault="00B169EC" w:rsidP="00867DE5">
      <w:pPr>
        <w:pStyle w:val="NoSpacing"/>
        <w:rPr>
          <w:b/>
          <w:bCs/>
          <w:lang w:val="en-GB"/>
        </w:rPr>
      </w:pPr>
      <w:r w:rsidRPr="00867DE5">
        <w:rPr>
          <w:b/>
          <w:bCs/>
          <w:lang w:val="en-GB"/>
        </w:rPr>
        <w:lastRenderedPageBreak/>
        <w:t>DATA</w:t>
      </w:r>
    </w:p>
    <w:p w14:paraId="4F4AAA91" w14:textId="5BEE7ACA" w:rsidR="00B05C70" w:rsidRPr="00B05C70" w:rsidRDefault="00B05C70" w:rsidP="00867DE5">
      <w:pPr>
        <w:pStyle w:val="NoSpacing"/>
        <w:rPr>
          <w:lang w:val="en-GB"/>
        </w:rPr>
      </w:pPr>
      <w:r w:rsidRPr="00B05C70">
        <w:rPr>
          <w:lang w:val="en-GB"/>
        </w:rPr>
        <w:t>Presents</w:t>
      </w:r>
      <w:r w:rsidR="008C541C">
        <w:rPr>
          <w:lang w:val="en-GB"/>
        </w:rPr>
        <w:t xml:space="preserve">- display </w:t>
      </w:r>
      <w:r>
        <w:rPr>
          <w:lang w:val="en-GB"/>
        </w:rPr>
        <w:t>dataset</w:t>
      </w:r>
    </w:p>
    <w:p w14:paraId="7162C44A" w14:textId="77777777" w:rsidR="00347201" w:rsidRDefault="00B169EC" w:rsidP="00867DE5">
      <w:pPr>
        <w:pStyle w:val="NoSpacing"/>
        <w:rPr>
          <w:lang w:val="en-GB"/>
        </w:rPr>
      </w:pPr>
      <w:r w:rsidRPr="00B169EC">
        <w:rPr>
          <w:lang w:val="en-GB"/>
        </w:rPr>
        <w:t>Finally, mean reversion is another specific</w:t>
      </w:r>
      <w:r>
        <w:rPr>
          <w:lang w:val="en-GB"/>
        </w:rPr>
        <w:t xml:space="preserve"> </w:t>
      </w:r>
      <w:r w:rsidRPr="00B169EC">
        <w:rPr>
          <w:lang w:val="en-GB"/>
        </w:rPr>
        <w:t>characteristic of electricity prices, mainly driven by weather conditions</w:t>
      </w:r>
      <w:r>
        <w:rPr>
          <w:lang w:val="en-GB"/>
        </w:rPr>
        <w:t xml:space="preserve"> </w:t>
      </w:r>
      <w:r w:rsidRPr="00B169EC">
        <w:rPr>
          <w:lang w:val="en-GB"/>
        </w:rPr>
        <w:t>(Koopman et al., 2007); it refers to the tendency of electricity prices to</w:t>
      </w:r>
      <w:r>
        <w:rPr>
          <w:lang w:val="en-GB"/>
        </w:rPr>
        <w:t xml:space="preserve"> </w:t>
      </w:r>
      <w:r w:rsidRPr="00B169EC">
        <w:rPr>
          <w:lang w:val="en-GB"/>
        </w:rPr>
        <w:t>revert to a long-run level reflecting the long-run cost of electricity</w:t>
      </w:r>
      <w:r>
        <w:rPr>
          <w:lang w:val="en-GB"/>
        </w:rPr>
        <w:t xml:space="preserve"> </w:t>
      </w:r>
      <w:r w:rsidRPr="00B169EC">
        <w:rPr>
          <w:lang w:val="en-GB"/>
        </w:rPr>
        <w:t xml:space="preserve">generation. </w:t>
      </w:r>
      <w:r w:rsidR="009352D2">
        <w:rPr>
          <w:lang w:val="en-GB"/>
        </w:rPr>
        <w:t>STATIONARITY</w:t>
      </w:r>
      <w:r w:rsidR="00272994">
        <w:rPr>
          <w:lang w:val="en-GB"/>
        </w:rPr>
        <w:t xml:space="preserve"> From </w:t>
      </w:r>
      <w:r w:rsidR="00272994" w:rsidRPr="00D63316">
        <w:rPr>
          <w:sz w:val="18"/>
          <w:szCs w:val="18"/>
          <w:lang w:val="en-GB"/>
        </w:rPr>
        <w:t>Kyritsis</w:t>
      </w:r>
      <w:r w:rsidR="00272994">
        <w:rPr>
          <w:lang w:val="en-GB"/>
        </w:rPr>
        <w:t xml:space="preserve"> </w:t>
      </w:r>
      <w:proofErr w:type="spellStart"/>
      <w:r w:rsidR="0074006F">
        <w:rPr>
          <w:lang w:val="en-GB"/>
        </w:rPr>
        <w:t>etal</w:t>
      </w:r>
      <w:proofErr w:type="spellEnd"/>
      <w:r w:rsidR="0074006F">
        <w:rPr>
          <w:lang w:val="en-GB"/>
        </w:rPr>
        <w:t xml:space="preserve"> </w:t>
      </w:r>
      <w:r w:rsidR="00272994">
        <w:rPr>
          <w:lang w:val="en-GB"/>
        </w:rPr>
        <w:t>2017</w:t>
      </w:r>
    </w:p>
    <w:p w14:paraId="33C2396F" w14:textId="77777777" w:rsidR="00347201" w:rsidRDefault="00347201" w:rsidP="00867DE5">
      <w:pPr>
        <w:pStyle w:val="NoSpacing"/>
        <w:rPr>
          <w:lang w:val="en-GB"/>
        </w:rPr>
      </w:pPr>
    </w:p>
    <w:p w14:paraId="21070A49" w14:textId="77777777" w:rsidR="00502099" w:rsidRDefault="00502099" w:rsidP="00867DE5">
      <w:pPr>
        <w:pStyle w:val="NoSpacing"/>
        <w:rPr>
          <w:lang w:val="en-GB"/>
        </w:rPr>
      </w:pPr>
    </w:p>
    <w:p w14:paraId="4041BABB" w14:textId="34A55BE5" w:rsidR="00374BD7" w:rsidRDefault="00502099" w:rsidP="00867DE5">
      <w:pPr>
        <w:pStyle w:val="NoSpacing"/>
        <w:rPr>
          <w:b/>
          <w:bCs/>
          <w:lang w:val="en-GB"/>
        </w:rPr>
      </w:pPr>
      <w:r>
        <w:rPr>
          <w:b/>
          <w:bCs/>
          <w:lang w:val="en-GB"/>
        </w:rPr>
        <w:t>MODELS</w:t>
      </w:r>
    </w:p>
    <w:tbl>
      <w:tblPr>
        <w:tblStyle w:val="TableGrid"/>
        <w:tblW w:w="10201" w:type="dxa"/>
        <w:tblLook w:val="04A0" w:firstRow="1" w:lastRow="0" w:firstColumn="1" w:lastColumn="0" w:noHBand="0" w:noVBand="1"/>
      </w:tblPr>
      <w:tblGrid>
        <w:gridCol w:w="1638"/>
        <w:gridCol w:w="1705"/>
        <w:gridCol w:w="1681"/>
        <w:gridCol w:w="5177"/>
      </w:tblGrid>
      <w:tr w:rsidR="00400089" w:rsidRPr="009E145C" w14:paraId="40DAF347" w14:textId="77777777" w:rsidTr="00925CB5">
        <w:tc>
          <w:tcPr>
            <w:tcW w:w="1638" w:type="dxa"/>
          </w:tcPr>
          <w:p w14:paraId="4288E84C" w14:textId="68D3E2BC" w:rsidR="00400089" w:rsidRPr="009E145C" w:rsidRDefault="00400089" w:rsidP="009E145C">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S</w:t>
            </w:r>
            <w:r w:rsidRPr="009E145C">
              <w:rPr>
                <w:lang w:val="en-GB"/>
              </w:rPr>
              <w:t>pecify</w:t>
            </w:r>
            <w:r>
              <w:rPr>
                <w:lang w:val="en-GB"/>
              </w:rPr>
              <w:t xml:space="preserve"> price</w:t>
            </w:r>
            <w:r w:rsidRPr="009E145C">
              <w:rPr>
                <w:lang w:val="en-GB"/>
              </w:rPr>
              <w:t xml:space="preserve"> variability</w:t>
            </w:r>
          </w:p>
        </w:tc>
        <w:tc>
          <w:tcPr>
            <w:tcW w:w="1705" w:type="dxa"/>
          </w:tcPr>
          <w:p w14:paraId="194471E5" w14:textId="213D638B" w:rsidR="00400089" w:rsidRPr="009E145C" w:rsidRDefault="00400089" w:rsidP="009E145C">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Econometric model</w:t>
            </w:r>
          </w:p>
        </w:tc>
        <w:tc>
          <w:tcPr>
            <w:tcW w:w="1681" w:type="dxa"/>
          </w:tcPr>
          <w:p w14:paraId="71D22033" w14:textId="631A8E79" w:rsidR="00400089" w:rsidRPr="009E145C" w:rsidRDefault="00400089" w:rsidP="009E145C">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Unit of observation</w:t>
            </w:r>
          </w:p>
        </w:tc>
        <w:tc>
          <w:tcPr>
            <w:tcW w:w="5177" w:type="dxa"/>
          </w:tcPr>
          <w:p w14:paraId="252A45B5" w14:textId="68F2E0B7" w:rsidR="00400089" w:rsidRPr="009E145C" w:rsidRDefault="00400089" w:rsidP="009E145C">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Assumptions</w:t>
            </w:r>
          </w:p>
        </w:tc>
      </w:tr>
      <w:tr w:rsidR="00400089" w:rsidRPr="009E145C" w14:paraId="3E587167" w14:textId="77777777" w:rsidTr="00925CB5">
        <w:tc>
          <w:tcPr>
            <w:tcW w:w="1638" w:type="dxa"/>
          </w:tcPr>
          <w:p w14:paraId="30E4340D" w14:textId="77777777" w:rsidR="00400089"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sidRPr="009E145C">
              <w:rPr>
                <w:lang w:val="en-GB"/>
              </w:rPr>
              <w:t>IQR</w:t>
            </w:r>
            <w:r>
              <w:rPr>
                <w:lang w:val="en-GB"/>
              </w:rPr>
              <w:t xml:space="preserve"> = p0.9 - p0.1</w:t>
            </w:r>
          </w:p>
          <w:p w14:paraId="065DFAB1" w14:textId="5BA239B6" w:rsidR="00400089"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proofErr w:type="spellStart"/>
            <w:r>
              <w:rPr>
                <w:lang w:val="en-GB"/>
              </w:rPr>
              <w:t>Distrib</w:t>
            </w:r>
            <w:proofErr w:type="spellEnd"/>
            <w:r>
              <w:rPr>
                <w:lang w:val="en-GB"/>
              </w:rPr>
              <w:t xml:space="preserve"> of 24 hours, daily obs. </w:t>
            </w:r>
          </w:p>
          <w:p w14:paraId="2AB3BDE4" w14:textId="39D4C509"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proofErr w:type="spellStart"/>
            <w:r w:rsidRPr="009E145C">
              <w:rPr>
                <w:lang w:val="en-GB"/>
              </w:rPr>
              <w:t>Maciejowska</w:t>
            </w:r>
            <w:proofErr w:type="spellEnd"/>
            <w:r w:rsidRPr="009E145C">
              <w:rPr>
                <w:lang w:val="en-GB"/>
              </w:rPr>
              <w:t xml:space="preserve"> (2020)</w:t>
            </w:r>
          </w:p>
        </w:tc>
        <w:tc>
          <w:tcPr>
            <w:tcW w:w="1705" w:type="dxa"/>
          </w:tcPr>
          <w:p w14:paraId="4C88982A" w14:textId="7B76E747"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Linear regression</w:t>
            </w:r>
          </w:p>
        </w:tc>
        <w:tc>
          <w:tcPr>
            <w:tcW w:w="1681" w:type="dxa"/>
          </w:tcPr>
          <w:p w14:paraId="746D24D1" w14:textId="77777777" w:rsidR="00400089"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Days (in case of </w:t>
            </w:r>
            <w:proofErr w:type="spellStart"/>
            <w:r w:rsidRPr="009E145C">
              <w:rPr>
                <w:lang w:val="en-GB"/>
              </w:rPr>
              <w:t>Maciejowska</w:t>
            </w:r>
            <w:proofErr w:type="spellEnd"/>
            <w:r w:rsidRPr="009E145C">
              <w:rPr>
                <w:lang w:val="en-GB"/>
              </w:rPr>
              <w:t xml:space="preserve"> (2020)</w:t>
            </w:r>
            <w:r>
              <w:rPr>
                <w:lang w:val="en-GB"/>
              </w:rPr>
              <w:t xml:space="preserve"> </w:t>
            </w:r>
          </w:p>
          <w:p w14:paraId="2F424FE9" w14:textId="7FB340EC"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Weeks in case of panel</w:t>
            </w:r>
          </w:p>
        </w:tc>
        <w:tc>
          <w:tcPr>
            <w:tcW w:w="5177" w:type="dxa"/>
          </w:tcPr>
          <w:p w14:paraId="1E007085" w14:textId="77777777"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p>
        </w:tc>
      </w:tr>
      <w:tr w:rsidR="00400089" w:rsidRPr="009E145C" w14:paraId="65830E35" w14:textId="77777777" w:rsidTr="00925CB5">
        <w:tc>
          <w:tcPr>
            <w:tcW w:w="1638" w:type="dxa"/>
          </w:tcPr>
          <w:p w14:paraId="5060A64A" w14:textId="5F7E2892" w:rsidR="00400089"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Calculate the standard deviation over one week (7 observations) for each hour of the day (Equation 8) </w:t>
            </w:r>
          </w:p>
          <w:p w14:paraId="62034E2A" w14:textId="4E05D246"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proofErr w:type="spellStart"/>
            <w:r w:rsidRPr="009E145C">
              <w:rPr>
                <w:lang w:val="en-GB"/>
              </w:rPr>
              <w:t>Zareipour</w:t>
            </w:r>
            <w:proofErr w:type="spellEnd"/>
            <w:r w:rsidRPr="009E145C">
              <w:rPr>
                <w:lang w:val="en-GB"/>
              </w:rPr>
              <w:t xml:space="preserve"> et al</w:t>
            </w:r>
            <w:r>
              <w:rPr>
                <w:lang w:val="en-GB"/>
              </w:rPr>
              <w:t xml:space="preserve"> 2007</w:t>
            </w:r>
          </w:p>
        </w:tc>
        <w:tc>
          <w:tcPr>
            <w:tcW w:w="1705" w:type="dxa"/>
          </w:tcPr>
          <w:p w14:paraId="33DA819E" w14:textId="0D80C0EF"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Linear regression</w:t>
            </w:r>
          </w:p>
        </w:tc>
        <w:tc>
          <w:tcPr>
            <w:tcW w:w="1681" w:type="dxa"/>
          </w:tcPr>
          <w:p w14:paraId="7D98EDA7" w14:textId="616F74D1" w:rsidR="00400089" w:rsidRDefault="00400089" w:rsidP="006C0B7B">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Days (in case of daily aggregation)</w:t>
            </w:r>
          </w:p>
          <w:p w14:paraId="60AB5480" w14:textId="6EE22124" w:rsidR="00400089" w:rsidRPr="009E145C" w:rsidRDefault="00400089" w:rsidP="006C0B7B">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Weeks in case of panel</w:t>
            </w:r>
          </w:p>
        </w:tc>
        <w:tc>
          <w:tcPr>
            <w:tcW w:w="5177" w:type="dxa"/>
          </w:tcPr>
          <w:p w14:paraId="27D5A4FE" w14:textId="77777777"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p>
        </w:tc>
      </w:tr>
      <w:tr w:rsidR="00400089" w:rsidRPr="009E145C" w14:paraId="3AAA2CAA" w14:textId="77777777" w:rsidTr="00925CB5">
        <w:tc>
          <w:tcPr>
            <w:tcW w:w="1638" w:type="dxa"/>
          </w:tcPr>
          <w:p w14:paraId="6B0053D0" w14:textId="77777777" w:rsidR="00400089"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Location-scale </w:t>
            </w:r>
          </w:p>
          <w:p w14:paraId="6FC50402" w14:textId="2D8EA85E"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Where scale is a measure of dispersion (scale for normal </w:t>
            </w:r>
            <w:proofErr w:type="spellStart"/>
            <w:r>
              <w:rPr>
                <w:lang w:val="en-GB"/>
              </w:rPr>
              <w:t>distrib</w:t>
            </w:r>
            <w:proofErr w:type="spellEnd"/>
            <w:r>
              <w:rPr>
                <w:lang w:val="en-GB"/>
              </w:rPr>
              <w:t xml:space="preserve"> is the </w:t>
            </w:r>
            <w:proofErr w:type="spellStart"/>
            <w:r>
              <w:rPr>
                <w:lang w:val="en-GB"/>
              </w:rPr>
              <w:t>sd</w:t>
            </w:r>
            <w:proofErr w:type="spellEnd"/>
            <w:r>
              <w:rPr>
                <w:lang w:val="en-GB"/>
              </w:rPr>
              <w:t>)</w:t>
            </w:r>
          </w:p>
        </w:tc>
        <w:tc>
          <w:tcPr>
            <w:tcW w:w="1705" w:type="dxa"/>
          </w:tcPr>
          <w:p w14:paraId="7437AB1F" w14:textId="61DD0808"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Methods of moments quantile regression</w:t>
            </w:r>
          </w:p>
        </w:tc>
        <w:tc>
          <w:tcPr>
            <w:tcW w:w="1681" w:type="dxa"/>
          </w:tcPr>
          <w:p w14:paraId="16ACC1C5" w14:textId="66A90D9F"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Panel so Days and hours because variability function is estimated </w:t>
            </w:r>
          </w:p>
        </w:tc>
        <w:tc>
          <w:tcPr>
            <w:tcW w:w="5177" w:type="dxa"/>
          </w:tcPr>
          <w:p w14:paraId="3B893388" w14:textId="77777777" w:rsidR="00400089"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sidRPr="00400089">
              <w:rPr>
                <w:noProof/>
                <w:lang w:val="en-GB"/>
              </w:rPr>
              <w:drawing>
                <wp:inline distT="0" distB="0" distL="0" distR="0" wp14:anchorId="7FF8BB05" wp14:editId="01E3FAB4">
                  <wp:extent cx="2050769" cy="388961"/>
                  <wp:effectExtent l="0" t="0" r="6985" b="0"/>
                  <wp:docPr id="162949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98241" name=""/>
                          <pic:cNvPicPr/>
                        </pic:nvPicPr>
                        <pic:blipFill>
                          <a:blip r:embed="rId15"/>
                          <a:stretch>
                            <a:fillRect/>
                          </a:stretch>
                        </pic:blipFill>
                        <pic:spPr>
                          <a:xfrm>
                            <a:off x="0" y="0"/>
                            <a:ext cx="2099561" cy="398215"/>
                          </a:xfrm>
                          <a:prstGeom prst="rect">
                            <a:avLst/>
                          </a:prstGeom>
                        </pic:spPr>
                      </pic:pic>
                    </a:graphicData>
                  </a:graphic>
                </wp:inline>
              </w:drawing>
            </w:r>
          </w:p>
          <w:p w14:paraId="6A339663" w14:textId="4857BEA6" w:rsidR="00400089"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The scale term should be strictly positive for all observations, because should represents </w:t>
            </w:r>
            <w:proofErr w:type="spellStart"/>
            <w:r>
              <w:rPr>
                <w:lang w:val="en-GB"/>
              </w:rPr>
              <w:t>sd</w:t>
            </w:r>
            <w:proofErr w:type="spellEnd"/>
            <w:r>
              <w:rPr>
                <w:lang w:val="en-GB"/>
              </w:rPr>
              <w:t xml:space="preserve"> (&gt;0)</w:t>
            </w:r>
            <w:r w:rsidR="00EB52D0">
              <w:rPr>
                <w:lang w:val="en-GB"/>
              </w:rPr>
              <w:t>. Use exp usually</w:t>
            </w:r>
            <w:r w:rsidR="009955D0">
              <w:rPr>
                <w:lang w:val="en-GB"/>
              </w:rPr>
              <w:t xml:space="preserve"> as sigma function</w:t>
            </w:r>
            <w:r w:rsidR="00B93015">
              <w:rPr>
                <w:lang w:val="en-GB"/>
              </w:rPr>
              <w:t>.</w:t>
            </w:r>
          </w:p>
          <w:p w14:paraId="268AD06C" w14:textId="746A7B32" w:rsidR="00C9673F" w:rsidRDefault="00C94828"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sidRPr="0015696A">
              <w:rPr>
                <w:highlight w:val="yellow"/>
                <w:lang w:val="en-GB"/>
              </w:rPr>
              <w:t>This setup assumes that covariates affect distribution only through location and scale</w:t>
            </w:r>
            <w:r w:rsidR="001E74D7">
              <w:rPr>
                <w:lang w:val="en-GB"/>
              </w:rPr>
              <w:t>, no kurtosis, no skewness</w:t>
            </w:r>
            <w:r w:rsidR="00C9673F">
              <w:rPr>
                <w:lang w:val="en-GB"/>
              </w:rPr>
              <w:t>. Conditional distribution of Y on X should not change (tails or skewness)</w:t>
            </w:r>
            <w:r w:rsidR="007E7344">
              <w:rPr>
                <w:lang w:val="en-GB"/>
              </w:rPr>
              <w:t xml:space="preserve"> with X</w:t>
            </w:r>
          </w:p>
          <w:p w14:paraId="609F6EFC" w14:textId="2E85AD5B" w:rsidR="00C94828" w:rsidRDefault="00C41822"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Z affects the scale component and it’s a differentiable transformation of X (Z = X</w:t>
            </w:r>
            <w:r w:rsidR="00B21D91">
              <w:rPr>
                <w:lang w:val="en-GB"/>
              </w:rPr>
              <w:t xml:space="preserve"> (linear)</w:t>
            </w:r>
            <w:r>
              <w:rPr>
                <w:lang w:val="en-GB"/>
              </w:rPr>
              <w:t xml:space="preserve"> in most cases)</w:t>
            </w:r>
            <w:r w:rsidR="002C7C97">
              <w:rPr>
                <w:lang w:val="en-GB"/>
              </w:rPr>
              <w:t>. How X affect the distribution of Y (not the location)</w:t>
            </w:r>
            <w:r w:rsidR="00EB52D0">
              <w:rPr>
                <w:lang w:val="en-GB"/>
              </w:rPr>
              <w:t xml:space="preserve">. </w:t>
            </w:r>
            <w:r w:rsidR="00876B7E">
              <w:rPr>
                <w:lang w:val="en-GB"/>
              </w:rPr>
              <w:br/>
              <w:t>Estimator biased when n/T is large</w:t>
            </w:r>
            <w:r w:rsidR="003E04E0">
              <w:rPr>
                <w:lang w:val="en-GB"/>
              </w:rPr>
              <w:t xml:space="preserve">. </w:t>
            </w:r>
          </w:p>
          <w:p w14:paraId="74EAC2CC" w14:textId="77777777" w:rsidR="003E04E0" w:rsidRDefault="003E04E0"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MM-QR works well even if errors have high skewness and kurtosis</w:t>
            </w:r>
            <w:r w:rsidR="00925CB5">
              <w:rPr>
                <w:lang w:val="en-GB"/>
              </w:rPr>
              <w:t xml:space="preserve">. </w:t>
            </w:r>
          </w:p>
          <w:p w14:paraId="7C925FA1" w14:textId="6DA36BF4" w:rsidR="00925CB5" w:rsidRPr="009E145C" w:rsidRDefault="00925CB5"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Quantiles do not cross</w:t>
            </w:r>
            <w:r w:rsidR="00521EB2">
              <w:rPr>
                <w:lang w:val="en-GB"/>
              </w:rPr>
              <w:t>, monotonic increasing</w:t>
            </w:r>
            <w:r>
              <w:rPr>
                <w:lang w:val="en-GB"/>
              </w:rPr>
              <w:t xml:space="preserve"> (</w:t>
            </w:r>
            <w:proofErr w:type="spellStart"/>
            <w:r>
              <w:rPr>
                <w:lang w:val="en-GB"/>
              </w:rPr>
              <w:t>Qy</w:t>
            </w:r>
            <w:proofErr w:type="spellEnd"/>
            <w:r>
              <w:rPr>
                <w:lang w:val="en-GB"/>
              </w:rPr>
              <w:t>(0.9)</w:t>
            </w:r>
            <w:r w:rsidR="007C52F3">
              <w:rPr>
                <w:lang w:val="en-GB"/>
              </w:rPr>
              <w:t xml:space="preserve"> </w:t>
            </w:r>
            <w:r>
              <w:rPr>
                <w:lang w:val="en-GB"/>
              </w:rPr>
              <w:t>&lt;</w:t>
            </w:r>
            <w:r w:rsidR="007C52F3">
              <w:rPr>
                <w:lang w:val="en-GB"/>
              </w:rPr>
              <w:t xml:space="preserve"> </w:t>
            </w:r>
            <w:proofErr w:type="spellStart"/>
            <w:r>
              <w:rPr>
                <w:lang w:val="en-GB"/>
              </w:rPr>
              <w:t>Qy</w:t>
            </w:r>
            <w:proofErr w:type="spellEnd"/>
            <w:r>
              <w:rPr>
                <w:lang w:val="en-GB"/>
              </w:rPr>
              <w:t>(0.2))</w:t>
            </w:r>
          </w:p>
        </w:tc>
      </w:tr>
    </w:tbl>
    <w:p w14:paraId="75AEA5AB" w14:textId="77777777" w:rsidR="00502099" w:rsidRPr="00502099" w:rsidRDefault="00502099" w:rsidP="00867DE5">
      <w:pPr>
        <w:pStyle w:val="NoSpacing"/>
        <w:rPr>
          <w:b/>
          <w:bCs/>
          <w:lang w:val="en-GB"/>
        </w:rPr>
      </w:pPr>
    </w:p>
    <w:p w14:paraId="50F18D99" w14:textId="77777777" w:rsidR="00502099" w:rsidRDefault="00502099" w:rsidP="00867DE5">
      <w:pPr>
        <w:pStyle w:val="NoSpacing"/>
        <w:rPr>
          <w:lang w:val="en-GB"/>
        </w:rPr>
      </w:pPr>
    </w:p>
    <w:p w14:paraId="1220E725" w14:textId="77777777" w:rsidR="00347201" w:rsidRDefault="00347201" w:rsidP="00867DE5">
      <w:pPr>
        <w:pStyle w:val="NoSpacing"/>
        <w:rPr>
          <w:b/>
          <w:bCs/>
          <w:lang w:val="en-GB"/>
        </w:rPr>
      </w:pPr>
      <w:r>
        <w:rPr>
          <w:b/>
          <w:bCs/>
          <w:lang w:val="en-GB"/>
        </w:rPr>
        <w:t>CONCLUSION</w:t>
      </w:r>
    </w:p>
    <w:p w14:paraId="1246F513" w14:textId="77B69549" w:rsidR="0058143C" w:rsidRPr="00B169EC" w:rsidRDefault="00347201" w:rsidP="00867DE5">
      <w:pPr>
        <w:pStyle w:val="NoSpacing"/>
        <w:rPr>
          <w:rFonts w:eastAsia="Arial" w:cs="Arial"/>
          <w:color w:val="EE0000"/>
          <w:lang w:val="en-GB"/>
        </w:rPr>
      </w:pPr>
      <w:r>
        <w:rPr>
          <w:lang w:val="en-GB"/>
        </w:rPr>
        <w:t xml:space="preserve">Policy </w:t>
      </w:r>
      <w:r w:rsidR="008C541C">
        <w:rPr>
          <w:lang w:val="en-GB"/>
        </w:rPr>
        <w:t>recommendation</w:t>
      </w:r>
      <w:r w:rsidR="0058143C">
        <w:rPr>
          <w:lang w:val="en-GB"/>
        </w:rPr>
        <w:br w:type="page"/>
      </w:r>
    </w:p>
    <w:p w14:paraId="09844618" w14:textId="4187D018" w:rsidR="00CC02E7" w:rsidRDefault="00CC02E7" w:rsidP="00CC02E7">
      <w:pPr>
        <w:pStyle w:val="NoSpacing"/>
        <w:rPr>
          <w:lang w:val="en-GB"/>
        </w:rPr>
      </w:pPr>
      <w:r>
        <w:rPr>
          <w:lang w:val="en-GB"/>
        </w:rPr>
        <w:lastRenderedPageBreak/>
        <w:t>Ireland UK :</w:t>
      </w:r>
      <w:r w:rsidRPr="00A73421">
        <w:t xml:space="preserve"> </w:t>
      </w:r>
      <w:r w:rsidRPr="00A73421">
        <w:rPr>
          <w:lang w:val="en-GB"/>
        </w:rPr>
        <w:t>On 8 September 2016, the interconnector had a fault that occurred during an annual maintenance at the converter station in County Meath. The maintenance was carried out by contractor ABB. The interconnector re-entered service on 20 December 2016 with a fully rated 500 MW import, however exports to the UK were still limited to roughly 280MW.[5] As of June  2017, the cable offered full capacity in both directions.</w:t>
      </w:r>
    </w:p>
    <w:p w14:paraId="3E49D215" w14:textId="77777777" w:rsidR="005A6E8A" w:rsidRPr="00D60437" w:rsidRDefault="005A6E8A" w:rsidP="00BD411D">
      <w:pPr>
        <w:jc w:val="both"/>
        <w:rPr>
          <w:lang w:val="en-GB"/>
        </w:rPr>
      </w:pPr>
    </w:p>
    <w:p w14:paraId="63B56A70" w14:textId="77777777" w:rsidR="00BC4F4C" w:rsidRPr="00D60437" w:rsidRDefault="00BC4F4C" w:rsidP="00BC4F4C">
      <w:pPr>
        <w:jc w:val="both"/>
        <w:rPr>
          <w:b/>
          <w:bCs/>
          <w:lang w:val="en-GB"/>
        </w:rPr>
      </w:pPr>
      <w:r w:rsidRPr="00D60437">
        <w:rPr>
          <w:b/>
          <w:bCs/>
          <w:lang w:val="en-GB"/>
        </w:rPr>
        <w:t>Liberalisation of electricity market</w:t>
      </w:r>
    </w:p>
    <w:p w14:paraId="41C13336" w14:textId="77777777" w:rsidR="00BC4F4C" w:rsidRPr="00D60437" w:rsidRDefault="00BC4F4C" w:rsidP="00BC4F4C">
      <w:pPr>
        <w:jc w:val="both"/>
        <w:rPr>
          <w:lang w:val="en-GB"/>
        </w:rPr>
      </w:pPr>
      <w:r w:rsidRPr="00D60437">
        <w:rPr>
          <w:lang w:val="en-GB"/>
        </w:rPr>
        <w:t>Topic – Is the European competitive market a mechanism which foster renewable energy development?</w:t>
      </w:r>
    </w:p>
    <w:p w14:paraId="2BD6875E" w14:textId="77777777" w:rsidR="00BC4F4C" w:rsidRPr="00D60437" w:rsidRDefault="00BC4F4C" w:rsidP="00BC4F4C">
      <w:pPr>
        <w:pStyle w:val="NoSpacing"/>
        <w:rPr>
          <w:lang w:val="en-GB"/>
        </w:rPr>
      </w:pPr>
      <w:r w:rsidRPr="00D60437">
        <w:rPr>
          <w:lang w:val="en-GB"/>
        </w:rPr>
        <w:t xml:space="preserve">Literature: </w:t>
      </w:r>
    </w:p>
    <w:p w14:paraId="6013F870" w14:textId="77777777" w:rsidR="00BC4F4C" w:rsidRPr="00D60437" w:rsidRDefault="00BC4F4C" w:rsidP="00BC4F4C">
      <w:pPr>
        <w:pStyle w:val="NoSpacing"/>
        <w:rPr>
          <w:lang w:val="en-GB"/>
        </w:rPr>
      </w:pPr>
      <w:hyperlink r:id="rId16" w:history="1">
        <w:r w:rsidRPr="00D60437">
          <w:rPr>
            <w:rStyle w:val="Hyperlink"/>
            <w:lang w:val="en-GB"/>
          </w:rPr>
          <w:t>Electricity prices and public ownership: Evidence from the EU15 over thirty years</w:t>
        </w:r>
      </w:hyperlink>
      <w:r w:rsidRPr="00D60437">
        <w:rPr>
          <w:lang w:val="en-GB"/>
        </w:rPr>
        <w:t xml:space="preserve"> </w:t>
      </w:r>
    </w:p>
    <w:p w14:paraId="792ED1FA" w14:textId="77777777" w:rsidR="00BC4F4C" w:rsidRPr="00D60437" w:rsidRDefault="00BC4F4C" w:rsidP="00BC4F4C">
      <w:pPr>
        <w:rPr>
          <w:lang w:val="en-GB"/>
        </w:rPr>
      </w:pPr>
      <w:hyperlink r:id="rId17" w:history="1">
        <w:r w:rsidRPr="00D60437">
          <w:rPr>
            <w:rStyle w:val="Hyperlink"/>
            <w:lang w:val="en-GB"/>
          </w:rPr>
          <w:t>Effect of market structure on renewable energy Development—A simulation study of a regional electricity market in China</w:t>
        </w:r>
      </w:hyperlink>
    </w:p>
    <w:p w14:paraId="143A563D" w14:textId="77777777" w:rsidR="00BC4F4C" w:rsidRPr="00D60437" w:rsidRDefault="00BC4F4C" w:rsidP="00BC4F4C">
      <w:pPr>
        <w:rPr>
          <w:lang w:val="en-GB"/>
        </w:rPr>
      </w:pPr>
      <w:hyperlink r:id="rId18" w:history="1">
        <w:r w:rsidRPr="00D60437">
          <w:rPr>
            <w:rStyle w:val="Hyperlink"/>
            <w:lang w:val="en-GB"/>
          </w:rPr>
          <w:t xml:space="preserve">Modernise it, </w:t>
        </w:r>
        <w:proofErr w:type="spellStart"/>
        <w:r w:rsidRPr="00D60437">
          <w:rPr>
            <w:rStyle w:val="Hyperlink"/>
            <w:lang w:val="en-GB"/>
          </w:rPr>
          <w:t>sustainabilise</w:t>
        </w:r>
        <w:proofErr w:type="spellEnd"/>
        <w:r w:rsidRPr="00D60437">
          <w:rPr>
            <w:rStyle w:val="Hyperlink"/>
            <w:lang w:val="en-GB"/>
          </w:rPr>
          <w:t xml:space="preserve"> it! Swiss energy policy on the eve of electricity market liberalisation</w:t>
        </w:r>
      </w:hyperlink>
    </w:p>
    <w:p w14:paraId="1D0B23BA" w14:textId="77777777" w:rsidR="00BC4F4C" w:rsidRPr="00D60437" w:rsidRDefault="00BC4F4C" w:rsidP="00BC4F4C">
      <w:pPr>
        <w:rPr>
          <w:lang w:val="en-GB"/>
        </w:rPr>
      </w:pPr>
    </w:p>
    <w:p w14:paraId="4F664793" w14:textId="77777777" w:rsidR="00BC4F4C" w:rsidRPr="00C82567" w:rsidRDefault="00BC4F4C" w:rsidP="00BC4F4C">
      <w:pPr>
        <w:rPr>
          <w:b/>
          <w:bCs/>
          <w:lang w:val="en-GB"/>
        </w:rPr>
      </w:pPr>
      <w:r w:rsidRPr="00C82567">
        <w:rPr>
          <w:b/>
          <w:bCs/>
          <w:lang w:val="en-GB"/>
        </w:rPr>
        <w:t>Time series</w:t>
      </w:r>
    </w:p>
    <w:p w14:paraId="21D4A44D" w14:textId="77777777" w:rsidR="00BC4F4C" w:rsidRPr="00D60437" w:rsidRDefault="00BC4F4C" w:rsidP="00BC4F4C">
      <w:pPr>
        <w:rPr>
          <w:lang w:val="en-GB"/>
        </w:rPr>
      </w:pPr>
    </w:p>
    <w:p w14:paraId="75AFE5E7" w14:textId="77777777" w:rsidR="00BC4F4C" w:rsidRPr="00D60437" w:rsidRDefault="00BC4F4C" w:rsidP="00BC4F4C">
      <w:pPr>
        <w:rPr>
          <w:lang w:val="en-GB"/>
        </w:rPr>
      </w:pPr>
      <w:r w:rsidRPr="00D60437">
        <w:rPr>
          <w:lang w:val="en-GB"/>
        </w:rPr>
        <w:t xml:space="preserve">Recent Lit: </w:t>
      </w:r>
      <w:hyperlink r:id="rId19" w:history="1">
        <w:r w:rsidRPr="00D60437">
          <w:rPr>
            <w:rStyle w:val="Hyperlink"/>
            <w:lang w:val="en-GB"/>
          </w:rPr>
          <w:t>https://doi.org/10.1016/j.jup.2022.101405</w:t>
        </w:r>
      </w:hyperlink>
      <w:r w:rsidRPr="00D60437">
        <w:rPr>
          <w:lang w:val="en-GB"/>
        </w:rPr>
        <w:t xml:space="preserve"> </w:t>
      </w:r>
    </w:p>
    <w:p w14:paraId="7813B724" w14:textId="77777777" w:rsidR="00BC4F4C" w:rsidRPr="00D60437" w:rsidRDefault="00BC4F4C" w:rsidP="00BC4F4C">
      <w:pPr>
        <w:rPr>
          <w:lang w:val="en-GB"/>
        </w:rPr>
      </w:pPr>
    </w:p>
    <w:p w14:paraId="2765D365" w14:textId="77777777" w:rsidR="00BC4F4C" w:rsidRPr="00D60437" w:rsidRDefault="00BC4F4C" w:rsidP="00BC4F4C">
      <w:pPr>
        <w:pStyle w:val="NoSpacing"/>
        <w:rPr>
          <w:lang w:val="en-GB"/>
        </w:rPr>
      </w:pPr>
      <w:r w:rsidRPr="00D60437">
        <w:rPr>
          <w:lang w:val="en-GB"/>
        </w:rPr>
        <w:t>Advice : Deflate electricity prices, remove taxes</w:t>
      </w:r>
    </w:p>
    <w:p w14:paraId="086B9227" w14:textId="77777777" w:rsidR="00BC4F4C" w:rsidRPr="00D60437" w:rsidRDefault="00BC4F4C" w:rsidP="00BC4F4C">
      <w:pPr>
        <w:pStyle w:val="NoSpacing"/>
        <w:jc w:val="left"/>
        <w:rPr>
          <w:lang w:val="en-GB"/>
        </w:rPr>
      </w:pPr>
      <w:r w:rsidRPr="00D60437">
        <w:rPr>
          <w:lang w:val="en-GB"/>
        </w:rPr>
        <w:t xml:space="preserve">Classify different power market structure in terms of liberalisation </w:t>
      </w:r>
    </w:p>
    <w:p w14:paraId="21D28815" w14:textId="77777777" w:rsidR="00BC4F4C" w:rsidRPr="00D60437" w:rsidRDefault="00BC4F4C" w:rsidP="00BC4F4C">
      <w:pPr>
        <w:pStyle w:val="NoSpacing"/>
        <w:jc w:val="left"/>
        <w:rPr>
          <w:lang w:val="en-GB"/>
        </w:rPr>
      </w:pPr>
      <w:r w:rsidRPr="00D60437">
        <w:rPr>
          <w:lang w:val="en-GB"/>
        </w:rPr>
        <w:t>(</w:t>
      </w:r>
      <w:hyperlink r:id="rId20" w:history="1">
        <w:r w:rsidRPr="00D60437">
          <w:rPr>
            <w:rStyle w:val="Hyperlink"/>
            <w:lang w:val="en-GB"/>
          </w:rPr>
          <w:t>https://doi.org/10.1016/j.eneco.2008.12.004</w:t>
        </w:r>
      </w:hyperlink>
      <w:r w:rsidRPr="00D60437">
        <w:rPr>
          <w:lang w:val="en-GB"/>
        </w:rPr>
        <w:t xml:space="preserve"> )</w:t>
      </w:r>
    </w:p>
    <w:p w14:paraId="24BB6406" w14:textId="77777777" w:rsidR="00BC4F4C" w:rsidRPr="00D60437" w:rsidRDefault="00BC4F4C" w:rsidP="00BC4F4C">
      <w:pPr>
        <w:pStyle w:val="NoSpacing"/>
        <w:jc w:val="left"/>
        <w:rPr>
          <w:lang w:val="en-GB"/>
        </w:rPr>
      </w:pPr>
      <w:r w:rsidRPr="00D60437">
        <w:rPr>
          <w:lang w:val="en-GB"/>
        </w:rPr>
        <w:t>Use market opening share (</w:t>
      </w:r>
      <w:hyperlink r:id="rId21" w:history="1">
        <w:r w:rsidRPr="00D60437">
          <w:rPr>
            <w:rStyle w:val="Hyperlink"/>
            <w:lang w:val="en-GB"/>
          </w:rPr>
          <w:t>https://doi.org/10.1016/S1364-0321(03)00069-8</w:t>
        </w:r>
      </w:hyperlink>
      <w:r w:rsidRPr="00D60437">
        <w:rPr>
          <w:lang w:val="en-GB"/>
        </w:rPr>
        <w:t xml:space="preserve"> )</w:t>
      </w:r>
    </w:p>
    <w:p w14:paraId="43F8FE37" w14:textId="77777777" w:rsidR="00BC4F4C" w:rsidRPr="00D60437" w:rsidRDefault="00BC4F4C" w:rsidP="00BC4F4C">
      <w:pPr>
        <w:pStyle w:val="NoSpacing"/>
        <w:rPr>
          <w:lang w:val="en-GB"/>
        </w:rPr>
      </w:pPr>
    </w:p>
    <w:p w14:paraId="423D5B1F" w14:textId="77777777" w:rsidR="00BC4F4C" w:rsidRPr="00D60437" w:rsidRDefault="00BC4F4C" w:rsidP="00BC4F4C">
      <w:pPr>
        <w:pStyle w:val="NoSpacing"/>
        <w:rPr>
          <w:lang w:val="en-GB"/>
        </w:rPr>
      </w:pPr>
      <w:r w:rsidRPr="00D60437">
        <w:rPr>
          <w:lang w:val="en-GB"/>
        </w:rPr>
        <w:t xml:space="preserve">Data : </w:t>
      </w:r>
    </w:p>
    <w:p w14:paraId="46DD979E" w14:textId="77777777" w:rsidR="00BC4F4C" w:rsidRPr="00D60437" w:rsidRDefault="00BC4F4C" w:rsidP="00BC4F4C">
      <w:pPr>
        <w:pStyle w:val="NoSpacing"/>
        <w:rPr>
          <w:lang w:val="en-GB"/>
        </w:rPr>
      </w:pPr>
      <w:hyperlink r:id="rId22" w:history="1">
        <w:r w:rsidRPr="00D60437">
          <w:rPr>
            <w:rStyle w:val="Hyperlink"/>
            <w:lang w:val="en-GB"/>
          </w:rPr>
          <w:t>EU Energy market indicator</w:t>
        </w:r>
      </w:hyperlink>
      <w:r w:rsidRPr="00D60437">
        <w:rPr>
          <w:lang w:val="en-GB"/>
        </w:rPr>
        <w:t xml:space="preserve"> 26-36 countries across 10-12 years</w:t>
      </w:r>
    </w:p>
    <w:p w14:paraId="3E0E5CB1" w14:textId="77777777" w:rsidR="00BC4F4C" w:rsidRPr="00D60437" w:rsidRDefault="00BC4F4C" w:rsidP="00BC4F4C">
      <w:pPr>
        <w:pStyle w:val="NoSpacing"/>
        <w:rPr>
          <w:b/>
          <w:bCs/>
          <w:lang w:val="en-GB"/>
        </w:rPr>
      </w:pPr>
      <w:r w:rsidRPr="00D60437">
        <w:rPr>
          <w:lang w:val="en-GB"/>
        </w:rPr>
        <w:t xml:space="preserve">Indicator for competition is to use the </w:t>
      </w:r>
      <w:r w:rsidRPr="00D60437">
        <w:rPr>
          <w:b/>
          <w:bCs/>
          <w:lang w:val="en-GB"/>
        </w:rPr>
        <w:t>switching rate</w:t>
      </w:r>
      <w:r w:rsidRPr="00D60437">
        <w:rPr>
          <w:lang w:val="en-GB"/>
        </w:rPr>
        <w:t xml:space="preserve"> across retailers, </w:t>
      </w:r>
      <w:r w:rsidRPr="00D60437">
        <w:rPr>
          <w:b/>
          <w:bCs/>
          <w:lang w:val="en-GB"/>
        </w:rPr>
        <w:t>Concentration</w:t>
      </w:r>
      <w:r w:rsidRPr="00D60437">
        <w:rPr>
          <w:lang w:val="en-GB"/>
        </w:rPr>
        <w:t xml:space="preserve"> (HHI score), </w:t>
      </w:r>
      <w:r w:rsidRPr="00D60437">
        <w:rPr>
          <w:b/>
          <w:bCs/>
          <w:lang w:val="en-GB"/>
        </w:rPr>
        <w:t>entry and exit</w:t>
      </w:r>
    </w:p>
    <w:p w14:paraId="4806D967" w14:textId="77777777" w:rsidR="00BC4F4C" w:rsidRPr="00D60437" w:rsidRDefault="00BC4F4C" w:rsidP="00BC4F4C">
      <w:pPr>
        <w:pStyle w:val="NoSpacing"/>
        <w:rPr>
          <w:lang w:val="en-GB"/>
        </w:rPr>
      </w:pPr>
    </w:p>
    <w:p w14:paraId="49CF1BDC" w14:textId="77777777" w:rsidR="00BC4F4C" w:rsidRPr="00D60437" w:rsidRDefault="00BC4F4C" w:rsidP="00BC4F4C">
      <w:pPr>
        <w:pStyle w:val="NoSpacing"/>
        <w:rPr>
          <w:b/>
          <w:bCs/>
          <w:lang w:val="en-GB"/>
        </w:rPr>
      </w:pPr>
      <w:r w:rsidRPr="00D60437">
        <w:rPr>
          <w:b/>
          <w:bCs/>
          <w:lang w:val="en-GB"/>
        </w:rPr>
        <w:t>Danish monthly data on electricity sector per municipalities from 2013 for 73 Grid areas</w:t>
      </w:r>
    </w:p>
    <w:p w14:paraId="296C9FCA" w14:textId="77777777" w:rsidR="00BC4F4C" w:rsidRPr="002419E3" w:rsidRDefault="00BC4F4C" w:rsidP="00BC4F4C">
      <w:pPr>
        <w:pStyle w:val="NoSpacing"/>
        <w:rPr>
          <w:color w:val="EE0000"/>
          <w:lang w:val="en-GB"/>
        </w:rPr>
      </w:pPr>
      <w:r w:rsidRPr="002419E3">
        <w:rPr>
          <w:color w:val="EE0000"/>
          <w:lang w:val="en-GB"/>
        </w:rPr>
        <w:t>WHICH prices!!</w:t>
      </w:r>
      <w:r>
        <w:rPr>
          <w:color w:val="EE0000"/>
          <w:lang w:val="en-GB"/>
        </w:rPr>
        <w:t xml:space="preserve"> Impossible to find price at municipality level. </w:t>
      </w:r>
    </w:p>
    <w:p w14:paraId="473ACC31" w14:textId="77777777" w:rsidR="00BC4F4C" w:rsidRPr="00D60437" w:rsidRDefault="00BC4F4C" w:rsidP="00BC4F4C">
      <w:pPr>
        <w:pStyle w:val="NoSpacing"/>
        <w:rPr>
          <w:lang w:val="en-GB"/>
        </w:rPr>
      </w:pPr>
    </w:p>
    <w:p w14:paraId="35B85C67" w14:textId="77777777" w:rsidR="00BC4F4C" w:rsidRPr="00D60437" w:rsidRDefault="00BC4F4C" w:rsidP="00BC4F4C">
      <w:pPr>
        <w:pStyle w:val="NoSpacing"/>
        <w:rPr>
          <w:lang w:val="en-GB"/>
        </w:rPr>
      </w:pPr>
      <w:r w:rsidRPr="00D60437">
        <w:rPr>
          <w:lang w:val="en-GB"/>
        </w:rPr>
        <w:t xml:space="preserve">Problems: </w:t>
      </w:r>
    </w:p>
    <w:p w14:paraId="7CBDA4C5" w14:textId="77777777" w:rsidR="00BC4F4C" w:rsidRPr="00D60437" w:rsidRDefault="00BC4F4C" w:rsidP="00BC4F4C">
      <w:pPr>
        <w:pStyle w:val="NoSpacing"/>
        <w:numPr>
          <w:ilvl w:val="0"/>
          <w:numId w:val="6"/>
        </w:numPr>
        <w:rPr>
          <w:lang w:val="en-GB"/>
        </w:rPr>
      </w:pPr>
      <w:r w:rsidRPr="00D60437">
        <w:rPr>
          <w:lang w:val="en-GB"/>
        </w:rPr>
        <w:t>Electricity prices are autocorrelated : Control for EP t-1</w:t>
      </w:r>
    </w:p>
    <w:p w14:paraId="1267131A" w14:textId="77777777" w:rsidR="00BC4F4C" w:rsidRPr="00D60437" w:rsidRDefault="00BC4F4C" w:rsidP="00BC4F4C">
      <w:pPr>
        <w:pStyle w:val="NoSpacing"/>
        <w:numPr>
          <w:ilvl w:val="0"/>
          <w:numId w:val="6"/>
        </w:numPr>
        <w:rPr>
          <w:lang w:val="en-GB"/>
        </w:rPr>
      </w:pPr>
      <w:r w:rsidRPr="00D60437">
        <w:rPr>
          <w:lang w:val="en-GB"/>
        </w:rPr>
        <w:t>Endogeneity: High prices affect liberalisation/market structure, which affects prices</w:t>
      </w:r>
    </w:p>
    <w:p w14:paraId="175497E7" w14:textId="77777777" w:rsidR="00BC4F4C" w:rsidRPr="00D60437" w:rsidRDefault="00BC4F4C" w:rsidP="00BC4F4C">
      <w:pPr>
        <w:pStyle w:val="NoSpacing"/>
        <w:rPr>
          <w:lang w:val="en-GB"/>
        </w:rPr>
      </w:pPr>
      <w:r w:rsidRPr="00D60437">
        <w:rPr>
          <w:lang w:val="en-GB"/>
        </w:rPr>
        <w:t xml:space="preserve">Identification strategy: </w:t>
      </w:r>
    </w:p>
    <w:p w14:paraId="23542906" w14:textId="77777777" w:rsidR="00BC4F4C" w:rsidRDefault="00BC4F4C" w:rsidP="00BC4F4C">
      <w:pPr>
        <w:pStyle w:val="NoSpacing"/>
        <w:rPr>
          <w:lang w:val="en-GB"/>
        </w:rPr>
      </w:pPr>
      <w:r w:rsidRPr="00D60437">
        <w:rPr>
          <w:lang w:val="en-GB"/>
        </w:rPr>
        <w:t xml:space="preserve">IV: regulation affects market structure, </w:t>
      </w:r>
      <w:r w:rsidRPr="00D60437">
        <w:rPr>
          <w:b/>
          <w:bCs/>
          <w:lang w:val="en-GB"/>
        </w:rPr>
        <w:t>political parties (left/right)</w:t>
      </w:r>
      <w:r w:rsidRPr="00D60437">
        <w:rPr>
          <w:lang w:val="en-GB"/>
        </w:rPr>
        <w:t xml:space="preserve"> </w:t>
      </w:r>
    </w:p>
    <w:p w14:paraId="0F7A1005" w14:textId="41931F2E" w:rsidR="00C03287" w:rsidRPr="00A66D6C" w:rsidRDefault="00C03287" w:rsidP="00BC4F4C">
      <w:pPr>
        <w:pStyle w:val="NoSpacing"/>
        <w:rPr>
          <w:lang w:val="en-GB"/>
        </w:rPr>
      </w:pPr>
      <w:r w:rsidRPr="00A66D6C">
        <w:rPr>
          <w:lang w:val="en-GB"/>
        </w:rPr>
        <w:br w:type="page"/>
      </w:r>
    </w:p>
    <w:p w14:paraId="4B01DBA8" w14:textId="1A997BC8" w:rsidR="00A54678" w:rsidRPr="00D60437" w:rsidRDefault="00C03287" w:rsidP="00A54678">
      <w:pPr>
        <w:jc w:val="both"/>
        <w:rPr>
          <w:b/>
          <w:bCs/>
          <w:lang w:val="en-GB"/>
        </w:rPr>
      </w:pPr>
      <w:r>
        <w:rPr>
          <w:b/>
          <w:bCs/>
          <w:lang w:val="en-GB"/>
        </w:rPr>
        <w:lastRenderedPageBreak/>
        <w:t>A</w:t>
      </w:r>
      <w:r w:rsidR="00A54678" w:rsidRPr="00D60437">
        <w:rPr>
          <w:b/>
          <w:bCs/>
          <w:lang w:val="en-GB"/>
        </w:rPr>
        <w:t>nalyse the effect of the exposure of wholesale market / on renewable energy on final electricity prices</w:t>
      </w:r>
    </w:p>
    <w:p w14:paraId="21548EFB" w14:textId="77777777" w:rsidR="00A54678" w:rsidRPr="00D60437" w:rsidRDefault="00A54678" w:rsidP="00A54678">
      <w:pPr>
        <w:jc w:val="both"/>
        <w:rPr>
          <w:lang w:val="en-GB"/>
        </w:rPr>
      </w:pPr>
      <w:r w:rsidRPr="00D60437">
        <w:rPr>
          <w:lang w:val="en-GB"/>
        </w:rPr>
        <w:t xml:space="preserve">Data: </w:t>
      </w:r>
      <w:hyperlink r:id="rId23" w:history="1">
        <w:r w:rsidRPr="00D60437">
          <w:rPr>
            <w:rStyle w:val="Hyperlink"/>
            <w:lang w:val="en-GB"/>
          </w:rPr>
          <w:t>https://jupyter.zazuko.com/electricity_prices.html</w:t>
        </w:r>
      </w:hyperlink>
      <w:r w:rsidRPr="00D60437">
        <w:rPr>
          <w:lang w:val="en-GB"/>
        </w:rPr>
        <w:t xml:space="preserve">, </w:t>
      </w:r>
      <w:hyperlink r:id="rId24" w:history="1">
        <w:r w:rsidRPr="00D60437">
          <w:rPr>
            <w:rStyle w:val="Hyperlink"/>
            <w:lang w:val="en-GB"/>
          </w:rPr>
          <w:t>https://www.prezzi-elettricita.elcom.admin.ch/</w:t>
        </w:r>
      </w:hyperlink>
      <w:r w:rsidRPr="00D60437">
        <w:rPr>
          <w:lang w:val="en-GB"/>
        </w:rPr>
        <w:t xml:space="preserve"> </w:t>
      </w:r>
    </w:p>
    <w:p w14:paraId="38517421" w14:textId="2FD40D7E" w:rsidR="00B654C8" w:rsidRPr="00D60437" w:rsidRDefault="00A54678" w:rsidP="00D71391">
      <w:pPr>
        <w:jc w:val="both"/>
        <w:rPr>
          <w:lang w:val="en-GB"/>
        </w:rPr>
      </w:pPr>
      <w:r w:rsidRPr="00D60437">
        <w:rPr>
          <w:lang w:val="en-GB"/>
        </w:rPr>
        <w:t xml:space="preserve">Literature: </w:t>
      </w:r>
      <w:hyperlink r:id="rId25" w:history="1">
        <w:r w:rsidRPr="00D60437">
          <w:rPr>
            <w:rStyle w:val="Hyperlink"/>
            <w:lang w:val="en-GB"/>
          </w:rPr>
          <w:t>The role of renewable energy sources in residential electricity prices: A club convergence analysis across selected European countries</w:t>
        </w:r>
      </w:hyperlink>
    </w:p>
    <w:p w14:paraId="7AB0F172" w14:textId="77777777" w:rsidR="001041D7" w:rsidRPr="00D60437" w:rsidRDefault="001041D7" w:rsidP="00D71391">
      <w:pPr>
        <w:jc w:val="both"/>
        <w:rPr>
          <w:lang w:val="en-GB"/>
        </w:rPr>
      </w:pPr>
    </w:p>
    <w:p w14:paraId="642FFEE0" w14:textId="77777777" w:rsidR="00E22A75" w:rsidRPr="00D60437" w:rsidRDefault="00E22A75" w:rsidP="00E22A75">
      <w:pPr>
        <w:jc w:val="both"/>
        <w:rPr>
          <w:b/>
          <w:bCs/>
          <w:lang w:val="en-GB"/>
        </w:rPr>
      </w:pPr>
      <w:r w:rsidRPr="00D60437">
        <w:rPr>
          <w:b/>
          <w:bCs/>
          <w:lang w:val="en-GB"/>
        </w:rPr>
        <w:t xml:space="preserve">Does cooperative ownership boost growth of renewable energy sources? Empirical evidence from </w:t>
      </w:r>
    </w:p>
    <w:p w14:paraId="2051BEDA" w14:textId="77777777" w:rsidR="00E22A75" w:rsidRPr="00D60437" w:rsidRDefault="00E22A75" w:rsidP="00E22A75">
      <w:pPr>
        <w:jc w:val="both"/>
        <w:rPr>
          <w:lang w:val="en-GB"/>
        </w:rPr>
      </w:pPr>
      <w:r w:rsidRPr="00D60437">
        <w:rPr>
          <w:lang w:val="en-GB"/>
        </w:rPr>
        <w:t>Danish Renewable Energy Act</w:t>
      </w:r>
    </w:p>
    <w:p w14:paraId="7B13851D" w14:textId="77777777" w:rsidR="00E22A75" w:rsidRPr="00D60437" w:rsidRDefault="00E22A75" w:rsidP="00E22A75">
      <w:pPr>
        <w:jc w:val="both"/>
        <w:rPr>
          <w:lang w:val="en-GB"/>
        </w:rPr>
      </w:pPr>
      <w:r w:rsidRPr="00D60437">
        <w:rPr>
          <w:lang w:val="en-GB"/>
        </w:rPr>
        <w:t xml:space="preserve">Literature: </w:t>
      </w:r>
      <w:hyperlink r:id="rId26" w:history="1">
        <w:r w:rsidRPr="00D60437">
          <w:rPr>
            <w:rStyle w:val="Hyperlink"/>
            <w:lang w:val="en-GB"/>
          </w:rPr>
          <w:t>Adoption of renewable energy technologies in rural Tigray, Ethiopia: An analysis of the impact of cooperatives</w:t>
        </w:r>
      </w:hyperlink>
    </w:p>
    <w:p w14:paraId="36E69429" w14:textId="77777777" w:rsidR="00E22A75" w:rsidRPr="00D60437" w:rsidRDefault="00E22A75" w:rsidP="00E22A75">
      <w:pPr>
        <w:rPr>
          <w:lang w:val="en-GB"/>
        </w:rPr>
      </w:pPr>
    </w:p>
    <w:p w14:paraId="46CEAEA7" w14:textId="77777777" w:rsidR="00E22A75" w:rsidRPr="00D60437" w:rsidRDefault="00E22A75" w:rsidP="00E22A75">
      <w:pPr>
        <w:rPr>
          <w:lang w:val="en-GB"/>
        </w:rPr>
      </w:pPr>
      <w:hyperlink r:id="rId27" w:history="1">
        <w:r w:rsidRPr="00D60437">
          <w:rPr>
            <w:rStyle w:val="Hyperlink"/>
            <w:lang w:val="en-GB"/>
          </w:rPr>
          <w:t>The role of cooperatives in overcoming the barriers to adoption of renewable energy</w:t>
        </w:r>
      </w:hyperlink>
    </w:p>
    <w:p w14:paraId="020F1AA2" w14:textId="77777777" w:rsidR="00E22A75" w:rsidRPr="00D60437" w:rsidRDefault="00E22A75" w:rsidP="00E22A75">
      <w:pPr>
        <w:rPr>
          <w:lang w:val="en-GB"/>
        </w:rPr>
      </w:pPr>
      <w:hyperlink r:id="rId28" w:history="1">
        <w:r w:rsidRPr="00D60437">
          <w:rPr>
            <w:rStyle w:val="Hyperlink"/>
            <w:lang w:val="en-GB"/>
          </w:rPr>
          <w:t>https://www.dora.lib4ri.ch/wsl/islandora/object/wsl:18943/datastream/PDF/view</w:t>
        </w:r>
      </w:hyperlink>
      <w:r w:rsidRPr="00D60437">
        <w:rPr>
          <w:lang w:val="en-GB"/>
        </w:rPr>
        <w:t xml:space="preserve"> </w:t>
      </w:r>
    </w:p>
    <w:p w14:paraId="187D63CA" w14:textId="77777777" w:rsidR="00E22A75" w:rsidRPr="00D60437" w:rsidRDefault="00E22A75" w:rsidP="00E22A75">
      <w:pPr>
        <w:rPr>
          <w:lang w:val="en-GB"/>
        </w:rPr>
      </w:pPr>
      <w:hyperlink r:id="rId29" w:history="1">
        <w:r w:rsidRPr="00D60437">
          <w:rPr>
            <w:rStyle w:val="Hyperlink"/>
            <w:lang w:val="en-GB"/>
          </w:rPr>
          <w:t>https://ocdc.coop/wp-content/uploads/2024/01/Energy-Cooperatives-in-Selected-Countries-of-the-World_-Legal-and-Economic-Aspects.pdf</w:t>
        </w:r>
      </w:hyperlink>
      <w:r w:rsidRPr="00D60437">
        <w:rPr>
          <w:lang w:val="en-GB"/>
        </w:rPr>
        <w:t xml:space="preserve"> </w:t>
      </w:r>
    </w:p>
    <w:p w14:paraId="1D69F2EF" w14:textId="77777777" w:rsidR="00E22A75" w:rsidRPr="00D60437" w:rsidRDefault="00E22A75" w:rsidP="00E22A75">
      <w:pPr>
        <w:rPr>
          <w:lang w:val="en-GB"/>
        </w:rPr>
      </w:pPr>
      <w:hyperlink r:id="rId30" w:history="1">
        <w:r w:rsidRPr="00D60437">
          <w:rPr>
            <w:rStyle w:val="Hyperlink"/>
            <w:lang w:val="en-GB"/>
          </w:rPr>
          <w:t>Financing renewable energy infrastructures via financial citizen participation – The case of Germany</w:t>
        </w:r>
      </w:hyperlink>
    </w:p>
    <w:p w14:paraId="04998E4C" w14:textId="77777777" w:rsidR="00E22A75" w:rsidRPr="00D60437" w:rsidRDefault="00E22A75" w:rsidP="00E22A75">
      <w:pPr>
        <w:jc w:val="both"/>
        <w:rPr>
          <w:lang w:val="en-GB"/>
        </w:rPr>
      </w:pPr>
      <w:hyperlink r:id="rId31" w:history="1">
        <w:r w:rsidRPr="00D60437">
          <w:rPr>
            <w:rStyle w:val="Hyperlink"/>
            <w:lang w:val="en-GB"/>
          </w:rPr>
          <w:t>https://stateofgreen.com/en/solutions/middelgrunden-wind-turbine-co-operative-middelgrunden-vindmollelaug/</w:t>
        </w:r>
      </w:hyperlink>
      <w:r w:rsidRPr="00D60437">
        <w:rPr>
          <w:lang w:val="en-GB"/>
        </w:rPr>
        <w:t xml:space="preserve"> </w:t>
      </w:r>
    </w:p>
    <w:p w14:paraId="11F4BA6D" w14:textId="77777777" w:rsidR="00E22A75" w:rsidRPr="00D60437" w:rsidRDefault="00E22A75" w:rsidP="00E22A75">
      <w:pPr>
        <w:jc w:val="both"/>
        <w:rPr>
          <w:lang w:val="en-GB"/>
        </w:rPr>
      </w:pPr>
      <w:hyperlink r:id="rId32" w:history="1">
        <w:r w:rsidRPr="00D60437">
          <w:rPr>
            <w:rStyle w:val="Hyperlink"/>
            <w:lang w:val="en-GB"/>
          </w:rPr>
          <w:t>https://www.iea.org/policies/17800-denmark-community-ownership-of-renewables</w:t>
        </w:r>
      </w:hyperlink>
      <w:r w:rsidRPr="00D60437">
        <w:rPr>
          <w:lang w:val="en-GB"/>
        </w:rPr>
        <w:t xml:space="preserve"> </w:t>
      </w:r>
    </w:p>
    <w:p w14:paraId="74A09FA4" w14:textId="77777777" w:rsidR="00E22A75" w:rsidRPr="00D60437" w:rsidRDefault="00E22A75" w:rsidP="00E22A75">
      <w:pPr>
        <w:jc w:val="both"/>
        <w:rPr>
          <w:lang w:val="en-GB"/>
        </w:rPr>
      </w:pPr>
    </w:p>
    <w:p w14:paraId="511951AF" w14:textId="77777777" w:rsidR="00E22A75" w:rsidRPr="00D60437" w:rsidRDefault="00E22A75" w:rsidP="00E22A75">
      <w:pPr>
        <w:jc w:val="both"/>
        <w:rPr>
          <w:lang w:val="en-GB"/>
        </w:rPr>
      </w:pPr>
      <w:hyperlink r:id="rId33" w:history="1">
        <w:r w:rsidRPr="00D60437">
          <w:rPr>
            <w:rStyle w:val="Hyperlink"/>
            <w:lang w:val="en-GB"/>
          </w:rPr>
          <w:t>San Gallen</w:t>
        </w:r>
      </w:hyperlink>
    </w:p>
    <w:p w14:paraId="535F9132" w14:textId="77777777" w:rsidR="00E22A75" w:rsidRPr="00D60437" w:rsidRDefault="00E22A75" w:rsidP="00E22A75">
      <w:pPr>
        <w:jc w:val="both"/>
        <w:rPr>
          <w:lang w:val="en-GB"/>
        </w:rPr>
      </w:pPr>
    </w:p>
    <w:p w14:paraId="14521737" w14:textId="77777777" w:rsidR="00E22A75" w:rsidRPr="00D60437" w:rsidRDefault="00E22A75" w:rsidP="00E22A75">
      <w:pPr>
        <w:rPr>
          <w:lang w:val="en-GB"/>
        </w:rPr>
      </w:pPr>
      <w:r w:rsidRPr="00D60437">
        <w:rPr>
          <w:lang w:val="en-GB"/>
        </w:rPr>
        <w:t xml:space="preserve">Data: </w:t>
      </w:r>
      <w:hyperlink r:id="rId34" w:anchor="/metadata/energy-cooperatives-in-switzerland-survey-results?search=Energiegenossenschaften" w:history="1">
        <w:r w:rsidRPr="00D60437">
          <w:rPr>
            <w:rStyle w:val="Hyperlink"/>
            <w:lang w:val="en-GB"/>
          </w:rPr>
          <w:t>https://www.envidat.ch/#/metadata/energy-cooperatives-in-switzerland-survey-results?search=Energiegenossenschaften</w:t>
        </w:r>
      </w:hyperlink>
      <w:r w:rsidRPr="00D60437">
        <w:rPr>
          <w:lang w:val="en-GB"/>
        </w:rPr>
        <w:t xml:space="preserve">+ </w:t>
      </w:r>
    </w:p>
    <w:p w14:paraId="7735DDF7" w14:textId="51A14BF9" w:rsidR="00365EE0" w:rsidRDefault="00365EE0" w:rsidP="008B114C">
      <w:pPr>
        <w:jc w:val="both"/>
        <w:rPr>
          <w:lang w:val="en-GB"/>
        </w:rPr>
      </w:pPr>
    </w:p>
    <w:p w14:paraId="5994FEB1" w14:textId="77777777" w:rsidR="0075446E" w:rsidRPr="00D60437" w:rsidRDefault="0075446E" w:rsidP="008B114C">
      <w:pPr>
        <w:jc w:val="both"/>
        <w:rPr>
          <w:lang w:val="en-GB"/>
        </w:rPr>
      </w:pPr>
    </w:p>
    <w:sectPr w:rsidR="0075446E" w:rsidRPr="00D60437" w:rsidSect="00216E2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C42E1" w14:textId="77777777" w:rsidR="00B50FD0" w:rsidRPr="006F6284" w:rsidRDefault="00B50FD0" w:rsidP="00E90616">
      <w:pPr>
        <w:spacing w:line="240" w:lineRule="auto"/>
      </w:pPr>
      <w:r w:rsidRPr="006F6284">
        <w:separator/>
      </w:r>
    </w:p>
  </w:endnote>
  <w:endnote w:type="continuationSeparator" w:id="0">
    <w:p w14:paraId="76F4FE1B" w14:textId="77777777" w:rsidR="00B50FD0" w:rsidRPr="006F6284" w:rsidRDefault="00B50FD0" w:rsidP="00E90616">
      <w:pPr>
        <w:spacing w:line="240" w:lineRule="auto"/>
      </w:pPr>
      <w:r w:rsidRPr="006F628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C379C" w14:textId="77777777" w:rsidR="00B50FD0" w:rsidRPr="006F6284" w:rsidRDefault="00B50FD0" w:rsidP="00E90616">
      <w:pPr>
        <w:spacing w:line="240" w:lineRule="auto"/>
      </w:pPr>
      <w:r w:rsidRPr="006F6284">
        <w:separator/>
      </w:r>
    </w:p>
  </w:footnote>
  <w:footnote w:type="continuationSeparator" w:id="0">
    <w:p w14:paraId="0697C912" w14:textId="77777777" w:rsidR="00B50FD0" w:rsidRPr="006F6284" w:rsidRDefault="00B50FD0" w:rsidP="00E90616">
      <w:pPr>
        <w:spacing w:line="240" w:lineRule="auto"/>
      </w:pPr>
      <w:r w:rsidRPr="006F6284">
        <w:continuationSeparator/>
      </w:r>
    </w:p>
  </w:footnote>
  <w:footnote w:id="1">
    <w:p w14:paraId="72C2F35C" w14:textId="5377B757" w:rsidR="001231DB" w:rsidRPr="004224C0" w:rsidRDefault="001231DB">
      <w:pPr>
        <w:pStyle w:val="FootnoteText"/>
        <w:rPr>
          <w:lang w:val="en-GB"/>
        </w:rPr>
      </w:pPr>
      <w:r>
        <w:rPr>
          <w:rStyle w:val="FootnoteReference"/>
        </w:rPr>
        <w:footnoteRef/>
      </w:r>
      <w:r>
        <w:t xml:space="preserve"> </w:t>
      </w:r>
      <w:r w:rsidRPr="004224C0">
        <w:rPr>
          <w:lang w:val="en-GB"/>
        </w:rPr>
        <w:t>Generalized Autoregressive Conditional Heteroskedasticity</w:t>
      </w:r>
      <w:r>
        <w:rPr>
          <w:lang w:val="en-GB"/>
        </w:rPr>
        <w:t xml:space="preserve"> : Capture volatility clusters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1A8B"/>
    <w:multiLevelType w:val="hybridMultilevel"/>
    <w:tmpl w:val="D7D21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77C31"/>
    <w:multiLevelType w:val="hybridMultilevel"/>
    <w:tmpl w:val="6652D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720ED"/>
    <w:multiLevelType w:val="hybridMultilevel"/>
    <w:tmpl w:val="32A4097E"/>
    <w:lvl w:ilvl="0" w:tplc="E40E7E6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528BA"/>
    <w:multiLevelType w:val="hybridMultilevel"/>
    <w:tmpl w:val="55ECAEF2"/>
    <w:lvl w:ilvl="0" w:tplc="A086C0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BC7A05"/>
    <w:multiLevelType w:val="multilevel"/>
    <w:tmpl w:val="C3CCF4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1F72875"/>
    <w:multiLevelType w:val="hybridMultilevel"/>
    <w:tmpl w:val="F566CDBC"/>
    <w:lvl w:ilvl="0" w:tplc="3B163C20">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4C1681"/>
    <w:multiLevelType w:val="hybridMultilevel"/>
    <w:tmpl w:val="261C4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13716D"/>
    <w:multiLevelType w:val="hybridMultilevel"/>
    <w:tmpl w:val="1EA2AC86"/>
    <w:lvl w:ilvl="0" w:tplc="9EEC6D9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1A2C87"/>
    <w:multiLevelType w:val="hybridMultilevel"/>
    <w:tmpl w:val="E6C83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1925182">
    <w:abstractNumId w:val="3"/>
  </w:num>
  <w:num w:numId="2" w16cid:durableId="1608849915">
    <w:abstractNumId w:val="7"/>
  </w:num>
  <w:num w:numId="3" w16cid:durableId="446776029">
    <w:abstractNumId w:val="7"/>
  </w:num>
  <w:num w:numId="4" w16cid:durableId="472069240">
    <w:abstractNumId w:val="4"/>
  </w:num>
  <w:num w:numId="5" w16cid:durableId="67964565">
    <w:abstractNumId w:val="5"/>
  </w:num>
  <w:num w:numId="6" w16cid:durableId="1799641290">
    <w:abstractNumId w:val="0"/>
  </w:num>
  <w:num w:numId="7" w16cid:durableId="751895567">
    <w:abstractNumId w:val="2"/>
  </w:num>
  <w:num w:numId="8" w16cid:durableId="282809621">
    <w:abstractNumId w:val="6"/>
  </w:num>
  <w:num w:numId="9" w16cid:durableId="653221953">
    <w:abstractNumId w:val="8"/>
  </w:num>
  <w:num w:numId="10" w16cid:durableId="1892426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C8"/>
    <w:rsid w:val="0000025C"/>
    <w:rsid w:val="00000634"/>
    <w:rsid w:val="00002E88"/>
    <w:rsid w:val="000032FB"/>
    <w:rsid w:val="000042EF"/>
    <w:rsid w:val="00010FC4"/>
    <w:rsid w:val="0001650C"/>
    <w:rsid w:val="00017466"/>
    <w:rsid w:val="0002163F"/>
    <w:rsid w:val="0003032A"/>
    <w:rsid w:val="00030FF0"/>
    <w:rsid w:val="00035B50"/>
    <w:rsid w:val="00035FB2"/>
    <w:rsid w:val="00036840"/>
    <w:rsid w:val="00043673"/>
    <w:rsid w:val="00044167"/>
    <w:rsid w:val="00050992"/>
    <w:rsid w:val="00050E29"/>
    <w:rsid w:val="000522AD"/>
    <w:rsid w:val="00057399"/>
    <w:rsid w:val="00063C22"/>
    <w:rsid w:val="000703B2"/>
    <w:rsid w:val="00073646"/>
    <w:rsid w:val="00073D2A"/>
    <w:rsid w:val="00074D5B"/>
    <w:rsid w:val="00075EEF"/>
    <w:rsid w:val="00075FDF"/>
    <w:rsid w:val="000774A3"/>
    <w:rsid w:val="00087A39"/>
    <w:rsid w:val="00092359"/>
    <w:rsid w:val="00092B02"/>
    <w:rsid w:val="000964D5"/>
    <w:rsid w:val="000968BA"/>
    <w:rsid w:val="000A005A"/>
    <w:rsid w:val="000A2382"/>
    <w:rsid w:val="000A78C6"/>
    <w:rsid w:val="000B03FD"/>
    <w:rsid w:val="000B2AC6"/>
    <w:rsid w:val="000C0C23"/>
    <w:rsid w:val="000C108F"/>
    <w:rsid w:val="000C78BF"/>
    <w:rsid w:val="000C7D30"/>
    <w:rsid w:val="000D6E0E"/>
    <w:rsid w:val="000E03BD"/>
    <w:rsid w:val="000E0E4A"/>
    <w:rsid w:val="000E1893"/>
    <w:rsid w:val="000E23BC"/>
    <w:rsid w:val="000E4020"/>
    <w:rsid w:val="000E49F0"/>
    <w:rsid w:val="000F22D0"/>
    <w:rsid w:val="000F2F81"/>
    <w:rsid w:val="000F607C"/>
    <w:rsid w:val="00101104"/>
    <w:rsid w:val="00102090"/>
    <w:rsid w:val="001041D7"/>
    <w:rsid w:val="001051E4"/>
    <w:rsid w:val="0010568E"/>
    <w:rsid w:val="00107805"/>
    <w:rsid w:val="00112C03"/>
    <w:rsid w:val="0011330E"/>
    <w:rsid w:val="001164C2"/>
    <w:rsid w:val="00117AA7"/>
    <w:rsid w:val="00117EB7"/>
    <w:rsid w:val="0012102A"/>
    <w:rsid w:val="00121CEB"/>
    <w:rsid w:val="001231DB"/>
    <w:rsid w:val="0012556E"/>
    <w:rsid w:val="0013109A"/>
    <w:rsid w:val="00131C90"/>
    <w:rsid w:val="001338A7"/>
    <w:rsid w:val="00135370"/>
    <w:rsid w:val="00135D41"/>
    <w:rsid w:val="00140A94"/>
    <w:rsid w:val="001414BA"/>
    <w:rsid w:val="00141F62"/>
    <w:rsid w:val="00144A4F"/>
    <w:rsid w:val="0014517C"/>
    <w:rsid w:val="00146D8C"/>
    <w:rsid w:val="00153CA2"/>
    <w:rsid w:val="001561FB"/>
    <w:rsid w:val="0015696A"/>
    <w:rsid w:val="001615D3"/>
    <w:rsid w:val="001616CF"/>
    <w:rsid w:val="001624D4"/>
    <w:rsid w:val="001649FC"/>
    <w:rsid w:val="00164EDC"/>
    <w:rsid w:val="0018269C"/>
    <w:rsid w:val="00183CC0"/>
    <w:rsid w:val="001873EE"/>
    <w:rsid w:val="00190D0D"/>
    <w:rsid w:val="00196B10"/>
    <w:rsid w:val="001970E7"/>
    <w:rsid w:val="001A1A25"/>
    <w:rsid w:val="001A36F8"/>
    <w:rsid w:val="001A374C"/>
    <w:rsid w:val="001A506C"/>
    <w:rsid w:val="001A63C3"/>
    <w:rsid w:val="001A6D96"/>
    <w:rsid w:val="001A7647"/>
    <w:rsid w:val="001C09DA"/>
    <w:rsid w:val="001C2D84"/>
    <w:rsid w:val="001C6F02"/>
    <w:rsid w:val="001D30D7"/>
    <w:rsid w:val="001D56B3"/>
    <w:rsid w:val="001E02F1"/>
    <w:rsid w:val="001E0AE1"/>
    <w:rsid w:val="001E356F"/>
    <w:rsid w:val="001E4960"/>
    <w:rsid w:val="001E74D7"/>
    <w:rsid w:val="001F1437"/>
    <w:rsid w:val="001F3EB0"/>
    <w:rsid w:val="001F43F5"/>
    <w:rsid w:val="001F489F"/>
    <w:rsid w:val="00201710"/>
    <w:rsid w:val="002113DC"/>
    <w:rsid w:val="00211A90"/>
    <w:rsid w:val="00213955"/>
    <w:rsid w:val="0021424E"/>
    <w:rsid w:val="0021453F"/>
    <w:rsid w:val="00214797"/>
    <w:rsid w:val="00216E2D"/>
    <w:rsid w:val="00217364"/>
    <w:rsid w:val="002217D0"/>
    <w:rsid w:val="00222772"/>
    <w:rsid w:val="00222FA1"/>
    <w:rsid w:val="00223B32"/>
    <w:rsid w:val="002251D1"/>
    <w:rsid w:val="002252A3"/>
    <w:rsid w:val="002258C1"/>
    <w:rsid w:val="00227B51"/>
    <w:rsid w:val="00230B60"/>
    <w:rsid w:val="002343AA"/>
    <w:rsid w:val="0023470C"/>
    <w:rsid w:val="002351DB"/>
    <w:rsid w:val="00236AF9"/>
    <w:rsid w:val="002419E3"/>
    <w:rsid w:val="00242A6B"/>
    <w:rsid w:val="00243E30"/>
    <w:rsid w:val="00246680"/>
    <w:rsid w:val="00254223"/>
    <w:rsid w:val="00254600"/>
    <w:rsid w:val="0026135F"/>
    <w:rsid w:val="00270323"/>
    <w:rsid w:val="00272994"/>
    <w:rsid w:val="00282C30"/>
    <w:rsid w:val="0028359D"/>
    <w:rsid w:val="002842AB"/>
    <w:rsid w:val="00290CE4"/>
    <w:rsid w:val="00292C93"/>
    <w:rsid w:val="00293A67"/>
    <w:rsid w:val="00293DF7"/>
    <w:rsid w:val="0029572E"/>
    <w:rsid w:val="00295D96"/>
    <w:rsid w:val="0029623F"/>
    <w:rsid w:val="002969D3"/>
    <w:rsid w:val="00297753"/>
    <w:rsid w:val="002A16DB"/>
    <w:rsid w:val="002A5807"/>
    <w:rsid w:val="002A62C8"/>
    <w:rsid w:val="002B043F"/>
    <w:rsid w:val="002B1D03"/>
    <w:rsid w:val="002C081C"/>
    <w:rsid w:val="002C5338"/>
    <w:rsid w:val="002C5AA0"/>
    <w:rsid w:val="002C62E7"/>
    <w:rsid w:val="002C6B1F"/>
    <w:rsid w:val="002C6F21"/>
    <w:rsid w:val="002C7C97"/>
    <w:rsid w:val="002D2483"/>
    <w:rsid w:val="002D2AF2"/>
    <w:rsid w:val="002D4F22"/>
    <w:rsid w:val="002D518E"/>
    <w:rsid w:val="002E33CC"/>
    <w:rsid w:val="002E554F"/>
    <w:rsid w:val="002E598C"/>
    <w:rsid w:val="002E7AA0"/>
    <w:rsid w:val="002E7D10"/>
    <w:rsid w:val="002F56DE"/>
    <w:rsid w:val="002F666F"/>
    <w:rsid w:val="0030008C"/>
    <w:rsid w:val="0030118A"/>
    <w:rsid w:val="00302083"/>
    <w:rsid w:val="00304ACB"/>
    <w:rsid w:val="00305695"/>
    <w:rsid w:val="003111A6"/>
    <w:rsid w:val="00313C8A"/>
    <w:rsid w:val="00313EC7"/>
    <w:rsid w:val="0031719F"/>
    <w:rsid w:val="0032224C"/>
    <w:rsid w:val="00325143"/>
    <w:rsid w:val="0033021E"/>
    <w:rsid w:val="003303DD"/>
    <w:rsid w:val="00341A88"/>
    <w:rsid w:val="00343394"/>
    <w:rsid w:val="00343774"/>
    <w:rsid w:val="0034422F"/>
    <w:rsid w:val="0034459B"/>
    <w:rsid w:val="00347201"/>
    <w:rsid w:val="003472E1"/>
    <w:rsid w:val="003520D4"/>
    <w:rsid w:val="0035635E"/>
    <w:rsid w:val="003625DB"/>
    <w:rsid w:val="00364F9C"/>
    <w:rsid w:val="003656EC"/>
    <w:rsid w:val="00365EE0"/>
    <w:rsid w:val="00366E42"/>
    <w:rsid w:val="0037050C"/>
    <w:rsid w:val="003710F4"/>
    <w:rsid w:val="00373A6B"/>
    <w:rsid w:val="00373A6E"/>
    <w:rsid w:val="00374BD7"/>
    <w:rsid w:val="003826F4"/>
    <w:rsid w:val="003944BB"/>
    <w:rsid w:val="0039472E"/>
    <w:rsid w:val="003A6AA8"/>
    <w:rsid w:val="003B0C56"/>
    <w:rsid w:val="003B30A1"/>
    <w:rsid w:val="003B7C4E"/>
    <w:rsid w:val="003C59C0"/>
    <w:rsid w:val="003C67C2"/>
    <w:rsid w:val="003D3534"/>
    <w:rsid w:val="003D79D1"/>
    <w:rsid w:val="003E04E0"/>
    <w:rsid w:val="003E4781"/>
    <w:rsid w:val="003E479E"/>
    <w:rsid w:val="003E5112"/>
    <w:rsid w:val="003F3D71"/>
    <w:rsid w:val="00400089"/>
    <w:rsid w:val="004002B9"/>
    <w:rsid w:val="00403AC9"/>
    <w:rsid w:val="0040485B"/>
    <w:rsid w:val="004171C8"/>
    <w:rsid w:val="004202C5"/>
    <w:rsid w:val="00420ECF"/>
    <w:rsid w:val="004224C0"/>
    <w:rsid w:val="00422E67"/>
    <w:rsid w:val="00424B4E"/>
    <w:rsid w:val="0042525D"/>
    <w:rsid w:val="00434DF6"/>
    <w:rsid w:val="00437496"/>
    <w:rsid w:val="00444A53"/>
    <w:rsid w:val="00456FF6"/>
    <w:rsid w:val="004629B6"/>
    <w:rsid w:val="00466457"/>
    <w:rsid w:val="0047513F"/>
    <w:rsid w:val="00475541"/>
    <w:rsid w:val="00481439"/>
    <w:rsid w:val="00485C89"/>
    <w:rsid w:val="004863A9"/>
    <w:rsid w:val="00497538"/>
    <w:rsid w:val="004A6DC6"/>
    <w:rsid w:val="004A7518"/>
    <w:rsid w:val="004B275D"/>
    <w:rsid w:val="004B2A13"/>
    <w:rsid w:val="004B2EAB"/>
    <w:rsid w:val="004B37AE"/>
    <w:rsid w:val="004B456A"/>
    <w:rsid w:val="004B53AE"/>
    <w:rsid w:val="004B68A4"/>
    <w:rsid w:val="004C0BC2"/>
    <w:rsid w:val="004C348A"/>
    <w:rsid w:val="004C44FB"/>
    <w:rsid w:val="004C56F4"/>
    <w:rsid w:val="004D12C3"/>
    <w:rsid w:val="004D4AA4"/>
    <w:rsid w:val="004D5667"/>
    <w:rsid w:val="004D6539"/>
    <w:rsid w:val="004D6E9D"/>
    <w:rsid w:val="004E2654"/>
    <w:rsid w:val="004E3D63"/>
    <w:rsid w:val="004E52AF"/>
    <w:rsid w:val="004E5692"/>
    <w:rsid w:val="004F3000"/>
    <w:rsid w:val="004F726D"/>
    <w:rsid w:val="00501363"/>
    <w:rsid w:val="00501582"/>
    <w:rsid w:val="00502099"/>
    <w:rsid w:val="005042C7"/>
    <w:rsid w:val="00504F08"/>
    <w:rsid w:val="00507E7D"/>
    <w:rsid w:val="0052044F"/>
    <w:rsid w:val="00521EB2"/>
    <w:rsid w:val="00521FAA"/>
    <w:rsid w:val="005237C4"/>
    <w:rsid w:val="005265F5"/>
    <w:rsid w:val="005276E0"/>
    <w:rsid w:val="0053076A"/>
    <w:rsid w:val="00530B19"/>
    <w:rsid w:val="00531DA1"/>
    <w:rsid w:val="005326E1"/>
    <w:rsid w:val="005340A1"/>
    <w:rsid w:val="00534880"/>
    <w:rsid w:val="00536B05"/>
    <w:rsid w:val="00545C19"/>
    <w:rsid w:val="00552158"/>
    <w:rsid w:val="00554ECC"/>
    <w:rsid w:val="0055637D"/>
    <w:rsid w:val="005568EC"/>
    <w:rsid w:val="00556F1D"/>
    <w:rsid w:val="00561574"/>
    <w:rsid w:val="00570378"/>
    <w:rsid w:val="00572FF7"/>
    <w:rsid w:val="0057398D"/>
    <w:rsid w:val="0058010F"/>
    <w:rsid w:val="0058143C"/>
    <w:rsid w:val="00584DAF"/>
    <w:rsid w:val="0058582D"/>
    <w:rsid w:val="00586E82"/>
    <w:rsid w:val="005870DE"/>
    <w:rsid w:val="005872B9"/>
    <w:rsid w:val="0059069F"/>
    <w:rsid w:val="005943E1"/>
    <w:rsid w:val="005A3B55"/>
    <w:rsid w:val="005A4F0F"/>
    <w:rsid w:val="005A523C"/>
    <w:rsid w:val="005A6E8A"/>
    <w:rsid w:val="005B3589"/>
    <w:rsid w:val="005B39F7"/>
    <w:rsid w:val="005B6909"/>
    <w:rsid w:val="005C3B07"/>
    <w:rsid w:val="005D5A0E"/>
    <w:rsid w:val="005E16B4"/>
    <w:rsid w:val="005E429C"/>
    <w:rsid w:val="005E6E48"/>
    <w:rsid w:val="005F4054"/>
    <w:rsid w:val="005F4BD7"/>
    <w:rsid w:val="0060060C"/>
    <w:rsid w:val="0060213B"/>
    <w:rsid w:val="00602FEB"/>
    <w:rsid w:val="0061391C"/>
    <w:rsid w:val="00616EAA"/>
    <w:rsid w:val="00617F49"/>
    <w:rsid w:val="00624AA3"/>
    <w:rsid w:val="00636817"/>
    <w:rsid w:val="00637095"/>
    <w:rsid w:val="006376DD"/>
    <w:rsid w:val="006416FE"/>
    <w:rsid w:val="006420DF"/>
    <w:rsid w:val="00647337"/>
    <w:rsid w:val="00654EB6"/>
    <w:rsid w:val="0065615E"/>
    <w:rsid w:val="00656CD8"/>
    <w:rsid w:val="00657FA8"/>
    <w:rsid w:val="00665096"/>
    <w:rsid w:val="0067388F"/>
    <w:rsid w:val="00673E32"/>
    <w:rsid w:val="006805AE"/>
    <w:rsid w:val="006816D7"/>
    <w:rsid w:val="00681ACC"/>
    <w:rsid w:val="006823CB"/>
    <w:rsid w:val="00683990"/>
    <w:rsid w:val="006851EC"/>
    <w:rsid w:val="00690D67"/>
    <w:rsid w:val="006964C4"/>
    <w:rsid w:val="006977B7"/>
    <w:rsid w:val="006A0701"/>
    <w:rsid w:val="006A17EA"/>
    <w:rsid w:val="006A3861"/>
    <w:rsid w:val="006A5D98"/>
    <w:rsid w:val="006A7EA9"/>
    <w:rsid w:val="006B61C6"/>
    <w:rsid w:val="006B68DB"/>
    <w:rsid w:val="006C0B7B"/>
    <w:rsid w:val="006C48E8"/>
    <w:rsid w:val="006C54F5"/>
    <w:rsid w:val="006C5A9B"/>
    <w:rsid w:val="006C7BD7"/>
    <w:rsid w:val="006D12D5"/>
    <w:rsid w:val="006D161A"/>
    <w:rsid w:val="006D3053"/>
    <w:rsid w:val="006D3347"/>
    <w:rsid w:val="006D5B89"/>
    <w:rsid w:val="006D6160"/>
    <w:rsid w:val="006D76E2"/>
    <w:rsid w:val="006E251E"/>
    <w:rsid w:val="006E4477"/>
    <w:rsid w:val="006E78F3"/>
    <w:rsid w:val="006F353A"/>
    <w:rsid w:val="006F3C2A"/>
    <w:rsid w:val="006F6284"/>
    <w:rsid w:val="006F667A"/>
    <w:rsid w:val="007026B0"/>
    <w:rsid w:val="00705769"/>
    <w:rsid w:val="007062B8"/>
    <w:rsid w:val="00711806"/>
    <w:rsid w:val="00716AB3"/>
    <w:rsid w:val="00722056"/>
    <w:rsid w:val="0072584E"/>
    <w:rsid w:val="00726ECA"/>
    <w:rsid w:val="0074006F"/>
    <w:rsid w:val="0074174E"/>
    <w:rsid w:val="00742C8F"/>
    <w:rsid w:val="00742D7C"/>
    <w:rsid w:val="00743AF9"/>
    <w:rsid w:val="00745ACF"/>
    <w:rsid w:val="00753BD2"/>
    <w:rsid w:val="0075446E"/>
    <w:rsid w:val="007552C4"/>
    <w:rsid w:val="007558A4"/>
    <w:rsid w:val="0075767B"/>
    <w:rsid w:val="00757BC8"/>
    <w:rsid w:val="007658BC"/>
    <w:rsid w:val="00776A4F"/>
    <w:rsid w:val="007806E6"/>
    <w:rsid w:val="00780FBA"/>
    <w:rsid w:val="0078303B"/>
    <w:rsid w:val="00785F17"/>
    <w:rsid w:val="00787918"/>
    <w:rsid w:val="0079063F"/>
    <w:rsid w:val="00796D7B"/>
    <w:rsid w:val="007A1256"/>
    <w:rsid w:val="007A1F58"/>
    <w:rsid w:val="007A2C7E"/>
    <w:rsid w:val="007B032A"/>
    <w:rsid w:val="007B1EDD"/>
    <w:rsid w:val="007B7C4B"/>
    <w:rsid w:val="007C2A2C"/>
    <w:rsid w:val="007C42B4"/>
    <w:rsid w:val="007C4835"/>
    <w:rsid w:val="007C52F3"/>
    <w:rsid w:val="007C64B1"/>
    <w:rsid w:val="007D0AEC"/>
    <w:rsid w:val="007D424C"/>
    <w:rsid w:val="007D63AA"/>
    <w:rsid w:val="007E1ECC"/>
    <w:rsid w:val="007E25D4"/>
    <w:rsid w:val="007E368B"/>
    <w:rsid w:val="007E3DC9"/>
    <w:rsid w:val="007E7344"/>
    <w:rsid w:val="007E7999"/>
    <w:rsid w:val="007E7CE1"/>
    <w:rsid w:val="007F17FD"/>
    <w:rsid w:val="007F24F5"/>
    <w:rsid w:val="007F2B5B"/>
    <w:rsid w:val="007F3F76"/>
    <w:rsid w:val="007F5749"/>
    <w:rsid w:val="007F6CF0"/>
    <w:rsid w:val="00801382"/>
    <w:rsid w:val="008039BC"/>
    <w:rsid w:val="00811ADE"/>
    <w:rsid w:val="0081231F"/>
    <w:rsid w:val="00812CAE"/>
    <w:rsid w:val="00814AAC"/>
    <w:rsid w:val="008169F6"/>
    <w:rsid w:val="008240A5"/>
    <w:rsid w:val="0083495F"/>
    <w:rsid w:val="0083743C"/>
    <w:rsid w:val="00844FF2"/>
    <w:rsid w:val="00845BD8"/>
    <w:rsid w:val="00845FAE"/>
    <w:rsid w:val="008468EB"/>
    <w:rsid w:val="0085041E"/>
    <w:rsid w:val="00856267"/>
    <w:rsid w:val="00860E87"/>
    <w:rsid w:val="008617EB"/>
    <w:rsid w:val="00864146"/>
    <w:rsid w:val="00867B4C"/>
    <w:rsid w:val="00867DE5"/>
    <w:rsid w:val="008758AC"/>
    <w:rsid w:val="00876B7E"/>
    <w:rsid w:val="00882895"/>
    <w:rsid w:val="00887C85"/>
    <w:rsid w:val="008A238D"/>
    <w:rsid w:val="008A2DEF"/>
    <w:rsid w:val="008A4C04"/>
    <w:rsid w:val="008A5511"/>
    <w:rsid w:val="008B114C"/>
    <w:rsid w:val="008B17CD"/>
    <w:rsid w:val="008B24B5"/>
    <w:rsid w:val="008B262A"/>
    <w:rsid w:val="008B5CF3"/>
    <w:rsid w:val="008B72F7"/>
    <w:rsid w:val="008C2940"/>
    <w:rsid w:val="008C42C5"/>
    <w:rsid w:val="008C541C"/>
    <w:rsid w:val="008E003B"/>
    <w:rsid w:val="008E28FA"/>
    <w:rsid w:val="008E3D46"/>
    <w:rsid w:val="008E4F06"/>
    <w:rsid w:val="008F0F54"/>
    <w:rsid w:val="008F39C8"/>
    <w:rsid w:val="008F5E4F"/>
    <w:rsid w:val="008F5F0F"/>
    <w:rsid w:val="008F78A0"/>
    <w:rsid w:val="00903341"/>
    <w:rsid w:val="009037D7"/>
    <w:rsid w:val="00907B18"/>
    <w:rsid w:val="00910A0C"/>
    <w:rsid w:val="00911B6E"/>
    <w:rsid w:val="00913DB2"/>
    <w:rsid w:val="009143DB"/>
    <w:rsid w:val="0092064B"/>
    <w:rsid w:val="00921887"/>
    <w:rsid w:val="00925CB5"/>
    <w:rsid w:val="00925EC8"/>
    <w:rsid w:val="00932F06"/>
    <w:rsid w:val="009348FC"/>
    <w:rsid w:val="009349AB"/>
    <w:rsid w:val="009352D2"/>
    <w:rsid w:val="0093534C"/>
    <w:rsid w:val="009435D5"/>
    <w:rsid w:val="009436C1"/>
    <w:rsid w:val="00945FC7"/>
    <w:rsid w:val="00946B9D"/>
    <w:rsid w:val="00951032"/>
    <w:rsid w:val="00954037"/>
    <w:rsid w:val="00954522"/>
    <w:rsid w:val="0096249E"/>
    <w:rsid w:val="00962EA9"/>
    <w:rsid w:val="0096412E"/>
    <w:rsid w:val="00971679"/>
    <w:rsid w:val="00977BE4"/>
    <w:rsid w:val="00977E33"/>
    <w:rsid w:val="009822D3"/>
    <w:rsid w:val="00983EE1"/>
    <w:rsid w:val="00990324"/>
    <w:rsid w:val="00991B58"/>
    <w:rsid w:val="009927C2"/>
    <w:rsid w:val="00993A8D"/>
    <w:rsid w:val="009955D0"/>
    <w:rsid w:val="00996E7B"/>
    <w:rsid w:val="009B2949"/>
    <w:rsid w:val="009B5CF0"/>
    <w:rsid w:val="009C1E75"/>
    <w:rsid w:val="009C38E3"/>
    <w:rsid w:val="009C6FA7"/>
    <w:rsid w:val="009C7F26"/>
    <w:rsid w:val="009D241B"/>
    <w:rsid w:val="009D25AD"/>
    <w:rsid w:val="009D3CBE"/>
    <w:rsid w:val="009D579E"/>
    <w:rsid w:val="009E145C"/>
    <w:rsid w:val="009E184E"/>
    <w:rsid w:val="009E3431"/>
    <w:rsid w:val="009E3F03"/>
    <w:rsid w:val="009F6666"/>
    <w:rsid w:val="00A013DD"/>
    <w:rsid w:val="00A01FE2"/>
    <w:rsid w:val="00A071D7"/>
    <w:rsid w:val="00A07A97"/>
    <w:rsid w:val="00A07C09"/>
    <w:rsid w:val="00A14AF5"/>
    <w:rsid w:val="00A14B6D"/>
    <w:rsid w:val="00A2156A"/>
    <w:rsid w:val="00A22379"/>
    <w:rsid w:val="00A2255B"/>
    <w:rsid w:val="00A2263F"/>
    <w:rsid w:val="00A26FD1"/>
    <w:rsid w:val="00A2763B"/>
    <w:rsid w:val="00A27F03"/>
    <w:rsid w:val="00A3135F"/>
    <w:rsid w:val="00A40C08"/>
    <w:rsid w:val="00A459A0"/>
    <w:rsid w:val="00A4625B"/>
    <w:rsid w:val="00A46543"/>
    <w:rsid w:val="00A50F8D"/>
    <w:rsid w:val="00A52398"/>
    <w:rsid w:val="00A54678"/>
    <w:rsid w:val="00A5712C"/>
    <w:rsid w:val="00A57E53"/>
    <w:rsid w:val="00A6526C"/>
    <w:rsid w:val="00A66D6C"/>
    <w:rsid w:val="00A6772C"/>
    <w:rsid w:val="00A67F13"/>
    <w:rsid w:val="00A71A70"/>
    <w:rsid w:val="00A72834"/>
    <w:rsid w:val="00A73421"/>
    <w:rsid w:val="00A757D0"/>
    <w:rsid w:val="00A75A4D"/>
    <w:rsid w:val="00A7790A"/>
    <w:rsid w:val="00A81721"/>
    <w:rsid w:val="00A842F3"/>
    <w:rsid w:val="00A85E9D"/>
    <w:rsid w:val="00A87BBF"/>
    <w:rsid w:val="00A923E3"/>
    <w:rsid w:val="00A94724"/>
    <w:rsid w:val="00A948B5"/>
    <w:rsid w:val="00A94CC0"/>
    <w:rsid w:val="00A95032"/>
    <w:rsid w:val="00A96000"/>
    <w:rsid w:val="00A96C26"/>
    <w:rsid w:val="00AA20C0"/>
    <w:rsid w:val="00AA2815"/>
    <w:rsid w:val="00AA4124"/>
    <w:rsid w:val="00AA5CB5"/>
    <w:rsid w:val="00AA6421"/>
    <w:rsid w:val="00AA6F4C"/>
    <w:rsid w:val="00AB401C"/>
    <w:rsid w:val="00AC261D"/>
    <w:rsid w:val="00AC540A"/>
    <w:rsid w:val="00AC5FC0"/>
    <w:rsid w:val="00AC77A7"/>
    <w:rsid w:val="00AD19E4"/>
    <w:rsid w:val="00AE4091"/>
    <w:rsid w:val="00AE4687"/>
    <w:rsid w:val="00AE7695"/>
    <w:rsid w:val="00AF4D9C"/>
    <w:rsid w:val="00AF5948"/>
    <w:rsid w:val="00B01306"/>
    <w:rsid w:val="00B01F4E"/>
    <w:rsid w:val="00B03B4D"/>
    <w:rsid w:val="00B0418D"/>
    <w:rsid w:val="00B04664"/>
    <w:rsid w:val="00B05C70"/>
    <w:rsid w:val="00B169EC"/>
    <w:rsid w:val="00B16D3A"/>
    <w:rsid w:val="00B204B1"/>
    <w:rsid w:val="00B20EBF"/>
    <w:rsid w:val="00B21D91"/>
    <w:rsid w:val="00B264E3"/>
    <w:rsid w:val="00B3112F"/>
    <w:rsid w:val="00B31BB4"/>
    <w:rsid w:val="00B32878"/>
    <w:rsid w:val="00B36345"/>
    <w:rsid w:val="00B375F0"/>
    <w:rsid w:val="00B46C35"/>
    <w:rsid w:val="00B50B5B"/>
    <w:rsid w:val="00B50FD0"/>
    <w:rsid w:val="00B51E21"/>
    <w:rsid w:val="00B5283F"/>
    <w:rsid w:val="00B55701"/>
    <w:rsid w:val="00B572F0"/>
    <w:rsid w:val="00B62D2A"/>
    <w:rsid w:val="00B654C8"/>
    <w:rsid w:val="00B71695"/>
    <w:rsid w:val="00B72B3B"/>
    <w:rsid w:val="00B72CB1"/>
    <w:rsid w:val="00B74ED6"/>
    <w:rsid w:val="00B8098F"/>
    <w:rsid w:val="00B85A2E"/>
    <w:rsid w:val="00B86DDE"/>
    <w:rsid w:val="00B87ACA"/>
    <w:rsid w:val="00B9211C"/>
    <w:rsid w:val="00B93015"/>
    <w:rsid w:val="00B94AFF"/>
    <w:rsid w:val="00B951EC"/>
    <w:rsid w:val="00B967A9"/>
    <w:rsid w:val="00B96995"/>
    <w:rsid w:val="00BA2DFE"/>
    <w:rsid w:val="00BA4BB9"/>
    <w:rsid w:val="00BB0B5C"/>
    <w:rsid w:val="00BB2A96"/>
    <w:rsid w:val="00BB4274"/>
    <w:rsid w:val="00BC226A"/>
    <w:rsid w:val="00BC2705"/>
    <w:rsid w:val="00BC4F4C"/>
    <w:rsid w:val="00BD411D"/>
    <w:rsid w:val="00BD51BC"/>
    <w:rsid w:val="00BE1629"/>
    <w:rsid w:val="00BE1A01"/>
    <w:rsid w:val="00BE3712"/>
    <w:rsid w:val="00BE5CB3"/>
    <w:rsid w:val="00BE6867"/>
    <w:rsid w:val="00BE75A0"/>
    <w:rsid w:val="00BF441C"/>
    <w:rsid w:val="00BF56EE"/>
    <w:rsid w:val="00C03287"/>
    <w:rsid w:val="00C10BEB"/>
    <w:rsid w:val="00C10F0C"/>
    <w:rsid w:val="00C12F26"/>
    <w:rsid w:val="00C130E1"/>
    <w:rsid w:val="00C16A06"/>
    <w:rsid w:val="00C17C48"/>
    <w:rsid w:val="00C20742"/>
    <w:rsid w:val="00C2205C"/>
    <w:rsid w:val="00C224E1"/>
    <w:rsid w:val="00C24D19"/>
    <w:rsid w:val="00C2576A"/>
    <w:rsid w:val="00C262A3"/>
    <w:rsid w:val="00C32743"/>
    <w:rsid w:val="00C36BD9"/>
    <w:rsid w:val="00C37A99"/>
    <w:rsid w:val="00C41822"/>
    <w:rsid w:val="00C42498"/>
    <w:rsid w:val="00C427B7"/>
    <w:rsid w:val="00C527F6"/>
    <w:rsid w:val="00C54B1A"/>
    <w:rsid w:val="00C57CDD"/>
    <w:rsid w:val="00C57D8B"/>
    <w:rsid w:val="00C62DB8"/>
    <w:rsid w:val="00C7547B"/>
    <w:rsid w:val="00C80760"/>
    <w:rsid w:val="00C82567"/>
    <w:rsid w:val="00C84825"/>
    <w:rsid w:val="00C94828"/>
    <w:rsid w:val="00C9673F"/>
    <w:rsid w:val="00CA026E"/>
    <w:rsid w:val="00CA36B3"/>
    <w:rsid w:val="00CA46D8"/>
    <w:rsid w:val="00CB0E19"/>
    <w:rsid w:val="00CC02E7"/>
    <w:rsid w:val="00CC0685"/>
    <w:rsid w:val="00CC1EB2"/>
    <w:rsid w:val="00CC4B50"/>
    <w:rsid w:val="00CC5B53"/>
    <w:rsid w:val="00CD4C1D"/>
    <w:rsid w:val="00CD527E"/>
    <w:rsid w:val="00CD5F8E"/>
    <w:rsid w:val="00CD71B2"/>
    <w:rsid w:val="00CE106D"/>
    <w:rsid w:val="00CE1A87"/>
    <w:rsid w:val="00CE4325"/>
    <w:rsid w:val="00CE5FF2"/>
    <w:rsid w:val="00CE6BCB"/>
    <w:rsid w:val="00CE7903"/>
    <w:rsid w:val="00CF3927"/>
    <w:rsid w:val="00CF42E2"/>
    <w:rsid w:val="00D04100"/>
    <w:rsid w:val="00D061F0"/>
    <w:rsid w:val="00D06922"/>
    <w:rsid w:val="00D10D4E"/>
    <w:rsid w:val="00D11734"/>
    <w:rsid w:val="00D137E8"/>
    <w:rsid w:val="00D14208"/>
    <w:rsid w:val="00D171CF"/>
    <w:rsid w:val="00D17EC3"/>
    <w:rsid w:val="00D22976"/>
    <w:rsid w:val="00D25028"/>
    <w:rsid w:val="00D2692A"/>
    <w:rsid w:val="00D27B29"/>
    <w:rsid w:val="00D27CDD"/>
    <w:rsid w:val="00D334A9"/>
    <w:rsid w:val="00D33CB1"/>
    <w:rsid w:val="00D37242"/>
    <w:rsid w:val="00D4186B"/>
    <w:rsid w:val="00D46E53"/>
    <w:rsid w:val="00D51E4B"/>
    <w:rsid w:val="00D52532"/>
    <w:rsid w:val="00D5368A"/>
    <w:rsid w:val="00D5652B"/>
    <w:rsid w:val="00D60437"/>
    <w:rsid w:val="00D621CE"/>
    <w:rsid w:val="00D62EAB"/>
    <w:rsid w:val="00D6316D"/>
    <w:rsid w:val="00D63316"/>
    <w:rsid w:val="00D659A0"/>
    <w:rsid w:val="00D71391"/>
    <w:rsid w:val="00D7376A"/>
    <w:rsid w:val="00D76656"/>
    <w:rsid w:val="00D779B0"/>
    <w:rsid w:val="00D910DB"/>
    <w:rsid w:val="00D92DE2"/>
    <w:rsid w:val="00D932E9"/>
    <w:rsid w:val="00DA03A4"/>
    <w:rsid w:val="00DA1C8B"/>
    <w:rsid w:val="00DA430C"/>
    <w:rsid w:val="00DA4F4A"/>
    <w:rsid w:val="00DA7E76"/>
    <w:rsid w:val="00DB023E"/>
    <w:rsid w:val="00DB063C"/>
    <w:rsid w:val="00DC3B32"/>
    <w:rsid w:val="00DD2686"/>
    <w:rsid w:val="00DD3BA9"/>
    <w:rsid w:val="00DD5306"/>
    <w:rsid w:val="00DE01EB"/>
    <w:rsid w:val="00DE0323"/>
    <w:rsid w:val="00DE0EB3"/>
    <w:rsid w:val="00DE16E8"/>
    <w:rsid w:val="00DE1985"/>
    <w:rsid w:val="00DE25C2"/>
    <w:rsid w:val="00DE2EDB"/>
    <w:rsid w:val="00DF101D"/>
    <w:rsid w:val="00DF4B5A"/>
    <w:rsid w:val="00DF4C7B"/>
    <w:rsid w:val="00DF60AB"/>
    <w:rsid w:val="00DF7B6A"/>
    <w:rsid w:val="00E01E98"/>
    <w:rsid w:val="00E03ECE"/>
    <w:rsid w:val="00E061D8"/>
    <w:rsid w:val="00E10AC4"/>
    <w:rsid w:val="00E110B6"/>
    <w:rsid w:val="00E137F0"/>
    <w:rsid w:val="00E14092"/>
    <w:rsid w:val="00E14DFB"/>
    <w:rsid w:val="00E1556C"/>
    <w:rsid w:val="00E22A75"/>
    <w:rsid w:val="00E2305E"/>
    <w:rsid w:val="00E23B0B"/>
    <w:rsid w:val="00E24047"/>
    <w:rsid w:val="00E24845"/>
    <w:rsid w:val="00E254E2"/>
    <w:rsid w:val="00E25662"/>
    <w:rsid w:val="00E32840"/>
    <w:rsid w:val="00E33769"/>
    <w:rsid w:val="00E33AB5"/>
    <w:rsid w:val="00E33E59"/>
    <w:rsid w:val="00E34654"/>
    <w:rsid w:val="00E40020"/>
    <w:rsid w:val="00E4026E"/>
    <w:rsid w:val="00E41AED"/>
    <w:rsid w:val="00E4459D"/>
    <w:rsid w:val="00E50108"/>
    <w:rsid w:val="00E620DD"/>
    <w:rsid w:val="00E63440"/>
    <w:rsid w:val="00E640FF"/>
    <w:rsid w:val="00E65E9A"/>
    <w:rsid w:val="00E722E5"/>
    <w:rsid w:val="00E72D9D"/>
    <w:rsid w:val="00E735FC"/>
    <w:rsid w:val="00E74B9E"/>
    <w:rsid w:val="00E76E92"/>
    <w:rsid w:val="00E815D3"/>
    <w:rsid w:val="00E81CC1"/>
    <w:rsid w:val="00E823E1"/>
    <w:rsid w:val="00E83608"/>
    <w:rsid w:val="00E83B64"/>
    <w:rsid w:val="00E8571A"/>
    <w:rsid w:val="00E87710"/>
    <w:rsid w:val="00E90616"/>
    <w:rsid w:val="00E965B4"/>
    <w:rsid w:val="00E97C98"/>
    <w:rsid w:val="00EA23BD"/>
    <w:rsid w:val="00EA2AC0"/>
    <w:rsid w:val="00EA2C46"/>
    <w:rsid w:val="00EA3AAF"/>
    <w:rsid w:val="00EA3D6B"/>
    <w:rsid w:val="00EA51EE"/>
    <w:rsid w:val="00EB240B"/>
    <w:rsid w:val="00EB52D0"/>
    <w:rsid w:val="00EC0209"/>
    <w:rsid w:val="00EC3A33"/>
    <w:rsid w:val="00EC42F9"/>
    <w:rsid w:val="00ED0C0F"/>
    <w:rsid w:val="00ED2947"/>
    <w:rsid w:val="00ED4801"/>
    <w:rsid w:val="00ED71DA"/>
    <w:rsid w:val="00ED7739"/>
    <w:rsid w:val="00EE141A"/>
    <w:rsid w:val="00EE533A"/>
    <w:rsid w:val="00EE60B8"/>
    <w:rsid w:val="00EF03AA"/>
    <w:rsid w:val="00EF4D8A"/>
    <w:rsid w:val="00F025D3"/>
    <w:rsid w:val="00F0330D"/>
    <w:rsid w:val="00F04272"/>
    <w:rsid w:val="00F047A9"/>
    <w:rsid w:val="00F05FEB"/>
    <w:rsid w:val="00F06F75"/>
    <w:rsid w:val="00F07026"/>
    <w:rsid w:val="00F0714F"/>
    <w:rsid w:val="00F15682"/>
    <w:rsid w:val="00F1622A"/>
    <w:rsid w:val="00F20EDE"/>
    <w:rsid w:val="00F21262"/>
    <w:rsid w:val="00F23293"/>
    <w:rsid w:val="00F26093"/>
    <w:rsid w:val="00F272B3"/>
    <w:rsid w:val="00F27E0D"/>
    <w:rsid w:val="00F32258"/>
    <w:rsid w:val="00F404E9"/>
    <w:rsid w:val="00F4360D"/>
    <w:rsid w:val="00F45AE4"/>
    <w:rsid w:val="00F47A30"/>
    <w:rsid w:val="00F501EF"/>
    <w:rsid w:val="00F5045F"/>
    <w:rsid w:val="00F52324"/>
    <w:rsid w:val="00F5492C"/>
    <w:rsid w:val="00F57D5D"/>
    <w:rsid w:val="00F626D5"/>
    <w:rsid w:val="00F634BB"/>
    <w:rsid w:val="00F63FAA"/>
    <w:rsid w:val="00F63FB7"/>
    <w:rsid w:val="00F654AD"/>
    <w:rsid w:val="00F66736"/>
    <w:rsid w:val="00F715FB"/>
    <w:rsid w:val="00F73245"/>
    <w:rsid w:val="00F81C71"/>
    <w:rsid w:val="00F83A75"/>
    <w:rsid w:val="00F841AF"/>
    <w:rsid w:val="00F84606"/>
    <w:rsid w:val="00F87AB1"/>
    <w:rsid w:val="00F90DE2"/>
    <w:rsid w:val="00F92264"/>
    <w:rsid w:val="00F93731"/>
    <w:rsid w:val="00F94773"/>
    <w:rsid w:val="00F97ED3"/>
    <w:rsid w:val="00FA1D0C"/>
    <w:rsid w:val="00FA3989"/>
    <w:rsid w:val="00FA7FCF"/>
    <w:rsid w:val="00FB32AC"/>
    <w:rsid w:val="00FB6FD5"/>
    <w:rsid w:val="00FC0F5A"/>
    <w:rsid w:val="00FC64AC"/>
    <w:rsid w:val="00FC7CFC"/>
    <w:rsid w:val="00FC7D27"/>
    <w:rsid w:val="00FD18A3"/>
    <w:rsid w:val="00FE0370"/>
    <w:rsid w:val="00FE38B7"/>
    <w:rsid w:val="00FE659F"/>
    <w:rsid w:val="00FF5ABF"/>
    <w:rsid w:val="00FF76A9"/>
  </w:rsids>
  <m:mathPr>
    <m:mathFont m:val="Cambria Math"/>
    <m:brkBin m:val="before"/>
    <m:brkBinSub m:val="--"/>
    <m:smallFrac m:val="0"/>
    <m:dispDef/>
    <m:lMargin m:val="0"/>
    <m:rMargin m:val="0"/>
    <m:defJc m:val="centerGroup"/>
    <m:wrapIndent m:val="1440"/>
    <m:intLim m:val="subSup"/>
    <m:naryLim m:val="undOvr"/>
  </m:mathPr>
  <w:themeFontLang w:val="it-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3942"/>
  <w15:chartTrackingRefBased/>
  <w15:docId w15:val="{14BE177D-2C18-4686-8E02-E89BE1CB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E67"/>
    <w:pPr>
      <w:spacing w:after="0" w:line="276" w:lineRule="auto"/>
    </w:pPr>
    <w:rPr>
      <w:rFonts w:ascii="Times New Roman" w:hAnsi="Times New Roman" w:cs="Arial"/>
      <w:kern w:val="0"/>
      <w:lang w:val="fr-CH" w:eastAsia="en-GB"/>
      <w14:ligatures w14:val="none"/>
    </w:rPr>
  </w:style>
  <w:style w:type="paragraph" w:styleId="Heading1">
    <w:name w:val="heading 1"/>
    <w:basedOn w:val="NoSpacing"/>
    <w:next w:val="NoSpacing"/>
    <w:link w:val="Heading1Char"/>
    <w:uiPriority w:val="9"/>
    <w:qFormat/>
    <w:rsid w:val="006C7BD7"/>
    <w:pPr>
      <w:keepNext/>
      <w:keepLines/>
      <w:spacing w:before="240" w:after="120"/>
      <w:outlineLvl w:val="0"/>
    </w:pPr>
    <w:rPr>
      <w:b/>
      <w:sz w:val="28"/>
      <w:szCs w:val="40"/>
      <w:lang w:eastAsia="en-US"/>
    </w:rPr>
  </w:style>
  <w:style w:type="paragraph" w:styleId="Heading2">
    <w:name w:val="heading 2"/>
    <w:basedOn w:val="Normal"/>
    <w:next w:val="NoSpacing"/>
    <w:link w:val="Heading2Char"/>
    <w:uiPriority w:val="9"/>
    <w:unhideWhenUsed/>
    <w:qFormat/>
    <w:rsid w:val="00497538"/>
    <w:pPr>
      <w:keepNext/>
      <w:keepLines/>
      <w:outlineLvl w:val="1"/>
    </w:pPr>
    <w:rPr>
      <w:rFonts w:eastAsiaTheme="majorEastAsia" w:cstheme="majorBidi"/>
      <w:color w:val="000000" w:themeColor="text1"/>
      <w:sz w:val="24"/>
      <w:szCs w:val="26"/>
    </w:rPr>
  </w:style>
  <w:style w:type="paragraph" w:styleId="Heading3">
    <w:name w:val="heading 3"/>
    <w:basedOn w:val="Normal"/>
    <w:next w:val="NoSpacing"/>
    <w:link w:val="Heading3Char"/>
    <w:uiPriority w:val="9"/>
    <w:unhideWhenUsed/>
    <w:qFormat/>
    <w:rsid w:val="004B2A1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39C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39C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F39C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F39C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F39C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F39C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BD7"/>
    <w:rPr>
      <w:rFonts w:ascii="Times New Roman" w:hAnsi="Times New Roman" w:cs="Arial"/>
      <w:b/>
      <w:kern w:val="0"/>
      <w:sz w:val="28"/>
      <w:szCs w:val="40"/>
      <w:lang w:val="it" w:eastAsia="en-GB"/>
      <w14:ligatures w14:val="none"/>
    </w:rPr>
  </w:style>
  <w:style w:type="character" w:customStyle="1" w:styleId="Heading2Char">
    <w:name w:val="Heading 2 Char"/>
    <w:basedOn w:val="DefaultParagraphFont"/>
    <w:link w:val="Heading2"/>
    <w:uiPriority w:val="9"/>
    <w:rsid w:val="00497538"/>
    <w:rPr>
      <w:rFonts w:ascii="Times New Roman" w:eastAsiaTheme="majorEastAsia" w:hAnsi="Times New Roman" w:cstheme="majorBidi"/>
      <w:color w:val="000000" w:themeColor="text1"/>
      <w:sz w:val="24"/>
      <w:szCs w:val="26"/>
    </w:rPr>
  </w:style>
  <w:style w:type="paragraph" w:styleId="NoSpacing">
    <w:name w:val="No Spacing"/>
    <w:basedOn w:val="Normal"/>
    <w:uiPriority w:val="1"/>
    <w:qFormat/>
    <w:rsid w:val="00D33CB1"/>
    <w:pPr>
      <w:pBdr>
        <w:top w:val="none" w:sz="4" w:space="0" w:color="000000"/>
        <w:left w:val="none" w:sz="4" w:space="0" w:color="000000"/>
        <w:bottom w:val="none" w:sz="4" w:space="0" w:color="000000"/>
        <w:right w:val="none" w:sz="4" w:space="0" w:color="000000"/>
        <w:between w:val="none" w:sz="4" w:space="0" w:color="000000"/>
      </w:pBdr>
      <w:spacing w:line="240" w:lineRule="auto"/>
      <w:jc w:val="both"/>
    </w:pPr>
    <w:rPr>
      <w:rFonts w:eastAsia="Calibri" w:cs="Calibri"/>
    </w:rPr>
  </w:style>
  <w:style w:type="character" w:customStyle="1" w:styleId="Heading3Char">
    <w:name w:val="Heading 3 Char"/>
    <w:basedOn w:val="DefaultParagraphFont"/>
    <w:link w:val="Heading3"/>
    <w:uiPriority w:val="9"/>
    <w:rsid w:val="004B2A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F39C8"/>
    <w:rPr>
      <w:rFonts w:eastAsiaTheme="majorEastAsia" w:cstheme="majorBidi"/>
      <w:i/>
      <w:iCs/>
      <w:color w:val="2F5496" w:themeColor="accent1" w:themeShade="BF"/>
      <w:kern w:val="0"/>
      <w:lang w:val="it" w:eastAsia="en-GB"/>
      <w14:ligatures w14:val="none"/>
    </w:rPr>
  </w:style>
  <w:style w:type="character" w:customStyle="1" w:styleId="Heading5Char">
    <w:name w:val="Heading 5 Char"/>
    <w:basedOn w:val="DefaultParagraphFont"/>
    <w:link w:val="Heading5"/>
    <w:uiPriority w:val="9"/>
    <w:semiHidden/>
    <w:rsid w:val="008F39C8"/>
    <w:rPr>
      <w:rFonts w:eastAsiaTheme="majorEastAsia" w:cstheme="majorBidi"/>
      <w:color w:val="2F5496" w:themeColor="accent1" w:themeShade="BF"/>
      <w:kern w:val="0"/>
      <w:lang w:val="it" w:eastAsia="en-GB"/>
      <w14:ligatures w14:val="none"/>
    </w:rPr>
  </w:style>
  <w:style w:type="character" w:customStyle="1" w:styleId="Heading6Char">
    <w:name w:val="Heading 6 Char"/>
    <w:basedOn w:val="DefaultParagraphFont"/>
    <w:link w:val="Heading6"/>
    <w:uiPriority w:val="9"/>
    <w:semiHidden/>
    <w:rsid w:val="008F39C8"/>
    <w:rPr>
      <w:rFonts w:eastAsiaTheme="majorEastAsia" w:cstheme="majorBidi"/>
      <w:i/>
      <w:iCs/>
      <w:color w:val="595959" w:themeColor="text1" w:themeTint="A6"/>
      <w:kern w:val="0"/>
      <w:lang w:val="it" w:eastAsia="en-GB"/>
      <w14:ligatures w14:val="none"/>
    </w:rPr>
  </w:style>
  <w:style w:type="character" w:customStyle="1" w:styleId="Heading7Char">
    <w:name w:val="Heading 7 Char"/>
    <w:basedOn w:val="DefaultParagraphFont"/>
    <w:link w:val="Heading7"/>
    <w:uiPriority w:val="9"/>
    <w:semiHidden/>
    <w:rsid w:val="008F39C8"/>
    <w:rPr>
      <w:rFonts w:eastAsiaTheme="majorEastAsia" w:cstheme="majorBidi"/>
      <w:color w:val="595959" w:themeColor="text1" w:themeTint="A6"/>
      <w:kern w:val="0"/>
      <w:lang w:val="it" w:eastAsia="en-GB"/>
      <w14:ligatures w14:val="none"/>
    </w:rPr>
  </w:style>
  <w:style w:type="character" w:customStyle="1" w:styleId="Heading8Char">
    <w:name w:val="Heading 8 Char"/>
    <w:basedOn w:val="DefaultParagraphFont"/>
    <w:link w:val="Heading8"/>
    <w:uiPriority w:val="9"/>
    <w:semiHidden/>
    <w:rsid w:val="008F39C8"/>
    <w:rPr>
      <w:rFonts w:eastAsiaTheme="majorEastAsia" w:cstheme="majorBidi"/>
      <w:i/>
      <w:iCs/>
      <w:color w:val="272727" w:themeColor="text1" w:themeTint="D8"/>
      <w:kern w:val="0"/>
      <w:lang w:val="it" w:eastAsia="en-GB"/>
      <w14:ligatures w14:val="none"/>
    </w:rPr>
  </w:style>
  <w:style w:type="character" w:customStyle="1" w:styleId="Heading9Char">
    <w:name w:val="Heading 9 Char"/>
    <w:basedOn w:val="DefaultParagraphFont"/>
    <w:link w:val="Heading9"/>
    <w:uiPriority w:val="9"/>
    <w:semiHidden/>
    <w:rsid w:val="008F39C8"/>
    <w:rPr>
      <w:rFonts w:eastAsiaTheme="majorEastAsia" w:cstheme="majorBidi"/>
      <w:color w:val="272727" w:themeColor="text1" w:themeTint="D8"/>
      <w:kern w:val="0"/>
      <w:lang w:val="it" w:eastAsia="en-GB"/>
      <w14:ligatures w14:val="none"/>
    </w:rPr>
  </w:style>
  <w:style w:type="paragraph" w:styleId="Title">
    <w:name w:val="Title"/>
    <w:basedOn w:val="Normal"/>
    <w:next w:val="Normal"/>
    <w:link w:val="TitleChar"/>
    <w:uiPriority w:val="10"/>
    <w:qFormat/>
    <w:rsid w:val="008F3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9C8"/>
    <w:rPr>
      <w:rFonts w:asciiTheme="majorHAnsi" w:eastAsiaTheme="majorEastAsia" w:hAnsiTheme="majorHAnsi" w:cstheme="majorBidi"/>
      <w:spacing w:val="-10"/>
      <w:kern w:val="28"/>
      <w:sz w:val="56"/>
      <w:szCs w:val="56"/>
      <w:lang w:val="it" w:eastAsia="en-GB"/>
      <w14:ligatures w14:val="none"/>
    </w:rPr>
  </w:style>
  <w:style w:type="paragraph" w:styleId="Subtitle">
    <w:name w:val="Subtitle"/>
    <w:basedOn w:val="Normal"/>
    <w:next w:val="Normal"/>
    <w:link w:val="SubtitleChar"/>
    <w:uiPriority w:val="11"/>
    <w:qFormat/>
    <w:rsid w:val="008F39C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9C8"/>
    <w:rPr>
      <w:rFonts w:eastAsiaTheme="majorEastAsia" w:cstheme="majorBidi"/>
      <w:color w:val="595959" w:themeColor="text1" w:themeTint="A6"/>
      <w:spacing w:val="15"/>
      <w:kern w:val="0"/>
      <w:sz w:val="28"/>
      <w:szCs w:val="28"/>
      <w:lang w:val="it" w:eastAsia="en-GB"/>
      <w14:ligatures w14:val="none"/>
    </w:rPr>
  </w:style>
  <w:style w:type="paragraph" w:styleId="Quote">
    <w:name w:val="Quote"/>
    <w:basedOn w:val="Normal"/>
    <w:next w:val="Normal"/>
    <w:link w:val="QuoteChar"/>
    <w:uiPriority w:val="29"/>
    <w:qFormat/>
    <w:rsid w:val="008F39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39C8"/>
    <w:rPr>
      <w:rFonts w:ascii="Times New Roman" w:hAnsi="Times New Roman" w:cs="Arial"/>
      <w:i/>
      <w:iCs/>
      <w:color w:val="404040" w:themeColor="text1" w:themeTint="BF"/>
      <w:kern w:val="0"/>
      <w:lang w:val="it" w:eastAsia="en-GB"/>
      <w14:ligatures w14:val="none"/>
    </w:rPr>
  </w:style>
  <w:style w:type="paragraph" w:styleId="ListParagraph">
    <w:name w:val="List Paragraph"/>
    <w:basedOn w:val="Normal"/>
    <w:uiPriority w:val="34"/>
    <w:qFormat/>
    <w:rsid w:val="008F39C8"/>
    <w:pPr>
      <w:ind w:left="720"/>
      <w:contextualSpacing/>
    </w:pPr>
  </w:style>
  <w:style w:type="character" w:styleId="IntenseEmphasis">
    <w:name w:val="Intense Emphasis"/>
    <w:basedOn w:val="DefaultParagraphFont"/>
    <w:uiPriority w:val="21"/>
    <w:qFormat/>
    <w:rsid w:val="008F39C8"/>
    <w:rPr>
      <w:i/>
      <w:iCs/>
      <w:color w:val="2F5496" w:themeColor="accent1" w:themeShade="BF"/>
    </w:rPr>
  </w:style>
  <w:style w:type="paragraph" w:styleId="IntenseQuote">
    <w:name w:val="Intense Quote"/>
    <w:basedOn w:val="Normal"/>
    <w:next w:val="Normal"/>
    <w:link w:val="IntenseQuoteChar"/>
    <w:uiPriority w:val="30"/>
    <w:qFormat/>
    <w:rsid w:val="008F39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39C8"/>
    <w:rPr>
      <w:rFonts w:ascii="Times New Roman" w:hAnsi="Times New Roman" w:cs="Arial"/>
      <w:i/>
      <w:iCs/>
      <w:color w:val="2F5496" w:themeColor="accent1" w:themeShade="BF"/>
      <w:kern w:val="0"/>
      <w:lang w:val="it" w:eastAsia="en-GB"/>
      <w14:ligatures w14:val="none"/>
    </w:rPr>
  </w:style>
  <w:style w:type="character" w:styleId="IntenseReference">
    <w:name w:val="Intense Reference"/>
    <w:basedOn w:val="DefaultParagraphFont"/>
    <w:uiPriority w:val="32"/>
    <w:qFormat/>
    <w:rsid w:val="008F39C8"/>
    <w:rPr>
      <w:b/>
      <w:bCs/>
      <w:smallCaps/>
      <w:color w:val="2F5496" w:themeColor="accent1" w:themeShade="BF"/>
      <w:spacing w:val="5"/>
    </w:rPr>
  </w:style>
  <w:style w:type="paragraph" w:styleId="Header">
    <w:name w:val="header"/>
    <w:basedOn w:val="Normal"/>
    <w:link w:val="HeaderChar"/>
    <w:uiPriority w:val="99"/>
    <w:unhideWhenUsed/>
    <w:rsid w:val="00E90616"/>
    <w:pPr>
      <w:tabs>
        <w:tab w:val="center" w:pos="4819"/>
        <w:tab w:val="right" w:pos="9638"/>
      </w:tabs>
      <w:spacing w:line="240" w:lineRule="auto"/>
    </w:pPr>
  </w:style>
  <w:style w:type="character" w:customStyle="1" w:styleId="HeaderChar">
    <w:name w:val="Header Char"/>
    <w:basedOn w:val="DefaultParagraphFont"/>
    <w:link w:val="Header"/>
    <w:uiPriority w:val="99"/>
    <w:rsid w:val="00E90616"/>
    <w:rPr>
      <w:rFonts w:ascii="Times New Roman" w:hAnsi="Times New Roman" w:cs="Arial"/>
      <w:kern w:val="0"/>
      <w:lang w:val="it" w:eastAsia="en-GB"/>
      <w14:ligatures w14:val="none"/>
    </w:rPr>
  </w:style>
  <w:style w:type="paragraph" w:styleId="Footer">
    <w:name w:val="footer"/>
    <w:basedOn w:val="Normal"/>
    <w:link w:val="FooterChar"/>
    <w:uiPriority w:val="99"/>
    <w:unhideWhenUsed/>
    <w:rsid w:val="00E90616"/>
    <w:pPr>
      <w:tabs>
        <w:tab w:val="center" w:pos="4819"/>
        <w:tab w:val="right" w:pos="9638"/>
      </w:tabs>
      <w:spacing w:line="240" w:lineRule="auto"/>
    </w:pPr>
  </w:style>
  <w:style w:type="character" w:customStyle="1" w:styleId="FooterChar">
    <w:name w:val="Footer Char"/>
    <w:basedOn w:val="DefaultParagraphFont"/>
    <w:link w:val="Footer"/>
    <w:uiPriority w:val="99"/>
    <w:rsid w:val="00E90616"/>
    <w:rPr>
      <w:rFonts w:ascii="Times New Roman" w:hAnsi="Times New Roman" w:cs="Arial"/>
      <w:kern w:val="0"/>
      <w:lang w:val="it" w:eastAsia="en-GB"/>
      <w14:ligatures w14:val="none"/>
    </w:rPr>
  </w:style>
  <w:style w:type="character" w:styleId="Hyperlink">
    <w:name w:val="Hyperlink"/>
    <w:basedOn w:val="DefaultParagraphFont"/>
    <w:uiPriority w:val="99"/>
    <w:unhideWhenUsed/>
    <w:rsid w:val="00C37A99"/>
    <w:rPr>
      <w:color w:val="0563C1" w:themeColor="hyperlink"/>
      <w:u w:val="single"/>
    </w:rPr>
  </w:style>
  <w:style w:type="character" w:styleId="UnresolvedMention">
    <w:name w:val="Unresolved Mention"/>
    <w:basedOn w:val="DefaultParagraphFont"/>
    <w:uiPriority w:val="99"/>
    <w:semiHidden/>
    <w:unhideWhenUsed/>
    <w:rsid w:val="00C37A99"/>
    <w:rPr>
      <w:color w:val="605E5C"/>
      <w:shd w:val="clear" w:color="auto" w:fill="E1DFDD"/>
    </w:rPr>
  </w:style>
  <w:style w:type="character" w:styleId="FollowedHyperlink">
    <w:name w:val="FollowedHyperlink"/>
    <w:basedOn w:val="DefaultParagraphFont"/>
    <w:uiPriority w:val="99"/>
    <w:semiHidden/>
    <w:unhideWhenUsed/>
    <w:rsid w:val="002D2483"/>
    <w:rPr>
      <w:color w:val="954F72" w:themeColor="followedHyperlink"/>
      <w:u w:val="single"/>
    </w:rPr>
  </w:style>
  <w:style w:type="table" w:styleId="TableGrid">
    <w:name w:val="Table Grid"/>
    <w:basedOn w:val="TableNormal"/>
    <w:uiPriority w:val="39"/>
    <w:rsid w:val="005A6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224C0"/>
    <w:pPr>
      <w:spacing w:line="240" w:lineRule="auto"/>
    </w:pPr>
    <w:rPr>
      <w:sz w:val="20"/>
      <w:szCs w:val="20"/>
    </w:rPr>
  </w:style>
  <w:style w:type="character" w:customStyle="1" w:styleId="FootnoteTextChar">
    <w:name w:val="Footnote Text Char"/>
    <w:basedOn w:val="DefaultParagraphFont"/>
    <w:link w:val="FootnoteText"/>
    <w:uiPriority w:val="99"/>
    <w:semiHidden/>
    <w:rsid w:val="004224C0"/>
    <w:rPr>
      <w:rFonts w:ascii="Times New Roman" w:hAnsi="Times New Roman" w:cs="Arial"/>
      <w:kern w:val="0"/>
      <w:sz w:val="20"/>
      <w:szCs w:val="20"/>
      <w:lang w:val="fr-CH" w:eastAsia="en-GB"/>
      <w14:ligatures w14:val="none"/>
    </w:rPr>
  </w:style>
  <w:style w:type="character" w:styleId="FootnoteReference">
    <w:name w:val="footnote reference"/>
    <w:basedOn w:val="DefaultParagraphFont"/>
    <w:uiPriority w:val="99"/>
    <w:semiHidden/>
    <w:unhideWhenUsed/>
    <w:rsid w:val="004224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3707">
      <w:bodyDiv w:val="1"/>
      <w:marLeft w:val="0"/>
      <w:marRight w:val="0"/>
      <w:marTop w:val="0"/>
      <w:marBottom w:val="0"/>
      <w:divBdr>
        <w:top w:val="none" w:sz="0" w:space="0" w:color="auto"/>
        <w:left w:val="none" w:sz="0" w:space="0" w:color="auto"/>
        <w:bottom w:val="none" w:sz="0" w:space="0" w:color="auto"/>
        <w:right w:val="none" w:sz="0" w:space="0" w:color="auto"/>
      </w:divBdr>
    </w:div>
    <w:div w:id="399599010">
      <w:bodyDiv w:val="1"/>
      <w:marLeft w:val="0"/>
      <w:marRight w:val="0"/>
      <w:marTop w:val="0"/>
      <w:marBottom w:val="0"/>
      <w:divBdr>
        <w:top w:val="none" w:sz="0" w:space="0" w:color="auto"/>
        <w:left w:val="none" w:sz="0" w:space="0" w:color="auto"/>
        <w:bottom w:val="none" w:sz="0" w:space="0" w:color="auto"/>
        <w:right w:val="none" w:sz="0" w:space="0" w:color="auto"/>
      </w:divBdr>
    </w:div>
    <w:div w:id="522208637">
      <w:bodyDiv w:val="1"/>
      <w:marLeft w:val="0"/>
      <w:marRight w:val="0"/>
      <w:marTop w:val="0"/>
      <w:marBottom w:val="0"/>
      <w:divBdr>
        <w:top w:val="none" w:sz="0" w:space="0" w:color="auto"/>
        <w:left w:val="none" w:sz="0" w:space="0" w:color="auto"/>
        <w:bottom w:val="none" w:sz="0" w:space="0" w:color="auto"/>
        <w:right w:val="none" w:sz="0" w:space="0" w:color="auto"/>
      </w:divBdr>
      <w:divsChild>
        <w:div w:id="106244816">
          <w:marLeft w:val="0"/>
          <w:marRight w:val="0"/>
          <w:marTop w:val="0"/>
          <w:marBottom w:val="0"/>
          <w:divBdr>
            <w:top w:val="none" w:sz="0" w:space="0" w:color="auto"/>
            <w:left w:val="none" w:sz="0" w:space="0" w:color="auto"/>
            <w:bottom w:val="none" w:sz="0" w:space="0" w:color="auto"/>
            <w:right w:val="none" w:sz="0" w:space="0" w:color="auto"/>
          </w:divBdr>
        </w:div>
        <w:div w:id="241179290">
          <w:marLeft w:val="0"/>
          <w:marRight w:val="0"/>
          <w:marTop w:val="0"/>
          <w:marBottom w:val="0"/>
          <w:divBdr>
            <w:top w:val="none" w:sz="0" w:space="0" w:color="auto"/>
            <w:left w:val="none" w:sz="0" w:space="0" w:color="auto"/>
            <w:bottom w:val="none" w:sz="0" w:space="0" w:color="auto"/>
            <w:right w:val="none" w:sz="0" w:space="0" w:color="auto"/>
          </w:divBdr>
        </w:div>
        <w:div w:id="251208715">
          <w:marLeft w:val="0"/>
          <w:marRight w:val="0"/>
          <w:marTop w:val="0"/>
          <w:marBottom w:val="0"/>
          <w:divBdr>
            <w:top w:val="none" w:sz="0" w:space="0" w:color="auto"/>
            <w:left w:val="none" w:sz="0" w:space="0" w:color="auto"/>
            <w:bottom w:val="none" w:sz="0" w:space="0" w:color="auto"/>
            <w:right w:val="none" w:sz="0" w:space="0" w:color="auto"/>
          </w:divBdr>
        </w:div>
        <w:div w:id="848183169">
          <w:marLeft w:val="0"/>
          <w:marRight w:val="0"/>
          <w:marTop w:val="0"/>
          <w:marBottom w:val="0"/>
          <w:divBdr>
            <w:top w:val="none" w:sz="0" w:space="0" w:color="auto"/>
            <w:left w:val="none" w:sz="0" w:space="0" w:color="auto"/>
            <w:bottom w:val="none" w:sz="0" w:space="0" w:color="auto"/>
            <w:right w:val="none" w:sz="0" w:space="0" w:color="auto"/>
          </w:divBdr>
        </w:div>
        <w:div w:id="1259169505">
          <w:marLeft w:val="0"/>
          <w:marRight w:val="0"/>
          <w:marTop w:val="0"/>
          <w:marBottom w:val="0"/>
          <w:divBdr>
            <w:top w:val="none" w:sz="0" w:space="0" w:color="auto"/>
            <w:left w:val="none" w:sz="0" w:space="0" w:color="auto"/>
            <w:bottom w:val="none" w:sz="0" w:space="0" w:color="auto"/>
            <w:right w:val="none" w:sz="0" w:space="0" w:color="auto"/>
          </w:divBdr>
        </w:div>
        <w:div w:id="1332563232">
          <w:marLeft w:val="0"/>
          <w:marRight w:val="0"/>
          <w:marTop w:val="0"/>
          <w:marBottom w:val="0"/>
          <w:divBdr>
            <w:top w:val="none" w:sz="0" w:space="0" w:color="auto"/>
            <w:left w:val="none" w:sz="0" w:space="0" w:color="auto"/>
            <w:bottom w:val="none" w:sz="0" w:space="0" w:color="auto"/>
            <w:right w:val="none" w:sz="0" w:space="0" w:color="auto"/>
          </w:divBdr>
        </w:div>
        <w:div w:id="1469742519">
          <w:marLeft w:val="0"/>
          <w:marRight w:val="0"/>
          <w:marTop w:val="0"/>
          <w:marBottom w:val="0"/>
          <w:divBdr>
            <w:top w:val="none" w:sz="0" w:space="0" w:color="auto"/>
            <w:left w:val="none" w:sz="0" w:space="0" w:color="auto"/>
            <w:bottom w:val="none" w:sz="0" w:space="0" w:color="auto"/>
            <w:right w:val="none" w:sz="0" w:space="0" w:color="auto"/>
          </w:divBdr>
        </w:div>
        <w:div w:id="1878276998">
          <w:marLeft w:val="0"/>
          <w:marRight w:val="0"/>
          <w:marTop w:val="0"/>
          <w:marBottom w:val="0"/>
          <w:divBdr>
            <w:top w:val="none" w:sz="0" w:space="0" w:color="auto"/>
            <w:left w:val="none" w:sz="0" w:space="0" w:color="auto"/>
            <w:bottom w:val="none" w:sz="0" w:space="0" w:color="auto"/>
            <w:right w:val="none" w:sz="0" w:space="0" w:color="auto"/>
          </w:divBdr>
        </w:div>
        <w:div w:id="1958366104">
          <w:marLeft w:val="0"/>
          <w:marRight w:val="0"/>
          <w:marTop w:val="0"/>
          <w:marBottom w:val="0"/>
          <w:divBdr>
            <w:top w:val="none" w:sz="0" w:space="0" w:color="auto"/>
            <w:left w:val="none" w:sz="0" w:space="0" w:color="auto"/>
            <w:bottom w:val="none" w:sz="0" w:space="0" w:color="auto"/>
            <w:right w:val="none" w:sz="0" w:space="0" w:color="auto"/>
          </w:divBdr>
        </w:div>
        <w:div w:id="2020808933">
          <w:marLeft w:val="0"/>
          <w:marRight w:val="0"/>
          <w:marTop w:val="0"/>
          <w:marBottom w:val="0"/>
          <w:divBdr>
            <w:top w:val="none" w:sz="0" w:space="0" w:color="auto"/>
            <w:left w:val="none" w:sz="0" w:space="0" w:color="auto"/>
            <w:bottom w:val="none" w:sz="0" w:space="0" w:color="auto"/>
            <w:right w:val="none" w:sz="0" w:space="0" w:color="auto"/>
          </w:divBdr>
        </w:div>
        <w:div w:id="2032947621">
          <w:marLeft w:val="0"/>
          <w:marRight w:val="0"/>
          <w:marTop w:val="0"/>
          <w:marBottom w:val="0"/>
          <w:divBdr>
            <w:top w:val="none" w:sz="0" w:space="0" w:color="auto"/>
            <w:left w:val="none" w:sz="0" w:space="0" w:color="auto"/>
            <w:bottom w:val="none" w:sz="0" w:space="0" w:color="auto"/>
            <w:right w:val="none" w:sz="0" w:space="0" w:color="auto"/>
          </w:divBdr>
        </w:div>
      </w:divsChild>
    </w:div>
    <w:div w:id="560333308">
      <w:bodyDiv w:val="1"/>
      <w:marLeft w:val="0"/>
      <w:marRight w:val="0"/>
      <w:marTop w:val="0"/>
      <w:marBottom w:val="0"/>
      <w:divBdr>
        <w:top w:val="none" w:sz="0" w:space="0" w:color="auto"/>
        <w:left w:val="none" w:sz="0" w:space="0" w:color="auto"/>
        <w:bottom w:val="none" w:sz="0" w:space="0" w:color="auto"/>
        <w:right w:val="none" w:sz="0" w:space="0" w:color="auto"/>
      </w:divBdr>
    </w:div>
    <w:div w:id="561260782">
      <w:bodyDiv w:val="1"/>
      <w:marLeft w:val="0"/>
      <w:marRight w:val="0"/>
      <w:marTop w:val="0"/>
      <w:marBottom w:val="0"/>
      <w:divBdr>
        <w:top w:val="none" w:sz="0" w:space="0" w:color="auto"/>
        <w:left w:val="none" w:sz="0" w:space="0" w:color="auto"/>
        <w:bottom w:val="none" w:sz="0" w:space="0" w:color="auto"/>
        <w:right w:val="none" w:sz="0" w:space="0" w:color="auto"/>
      </w:divBdr>
      <w:divsChild>
        <w:div w:id="264504688">
          <w:marLeft w:val="0"/>
          <w:marRight w:val="0"/>
          <w:marTop w:val="0"/>
          <w:marBottom w:val="0"/>
          <w:divBdr>
            <w:top w:val="none" w:sz="0" w:space="0" w:color="auto"/>
            <w:left w:val="none" w:sz="0" w:space="0" w:color="auto"/>
            <w:bottom w:val="none" w:sz="0" w:space="0" w:color="auto"/>
            <w:right w:val="none" w:sz="0" w:space="0" w:color="auto"/>
          </w:divBdr>
        </w:div>
        <w:div w:id="791558041">
          <w:marLeft w:val="0"/>
          <w:marRight w:val="0"/>
          <w:marTop w:val="0"/>
          <w:marBottom w:val="0"/>
          <w:divBdr>
            <w:top w:val="none" w:sz="0" w:space="0" w:color="auto"/>
            <w:left w:val="none" w:sz="0" w:space="0" w:color="auto"/>
            <w:bottom w:val="none" w:sz="0" w:space="0" w:color="auto"/>
            <w:right w:val="none" w:sz="0" w:space="0" w:color="auto"/>
          </w:divBdr>
        </w:div>
        <w:div w:id="1358389586">
          <w:marLeft w:val="0"/>
          <w:marRight w:val="0"/>
          <w:marTop w:val="0"/>
          <w:marBottom w:val="0"/>
          <w:divBdr>
            <w:top w:val="none" w:sz="0" w:space="0" w:color="auto"/>
            <w:left w:val="none" w:sz="0" w:space="0" w:color="auto"/>
            <w:bottom w:val="none" w:sz="0" w:space="0" w:color="auto"/>
            <w:right w:val="none" w:sz="0" w:space="0" w:color="auto"/>
          </w:divBdr>
        </w:div>
        <w:div w:id="1471552968">
          <w:marLeft w:val="0"/>
          <w:marRight w:val="0"/>
          <w:marTop w:val="0"/>
          <w:marBottom w:val="0"/>
          <w:divBdr>
            <w:top w:val="none" w:sz="0" w:space="0" w:color="auto"/>
            <w:left w:val="none" w:sz="0" w:space="0" w:color="auto"/>
            <w:bottom w:val="none" w:sz="0" w:space="0" w:color="auto"/>
            <w:right w:val="none" w:sz="0" w:space="0" w:color="auto"/>
          </w:divBdr>
        </w:div>
        <w:div w:id="1495023469">
          <w:marLeft w:val="0"/>
          <w:marRight w:val="0"/>
          <w:marTop w:val="0"/>
          <w:marBottom w:val="0"/>
          <w:divBdr>
            <w:top w:val="none" w:sz="0" w:space="0" w:color="auto"/>
            <w:left w:val="none" w:sz="0" w:space="0" w:color="auto"/>
            <w:bottom w:val="none" w:sz="0" w:space="0" w:color="auto"/>
            <w:right w:val="none" w:sz="0" w:space="0" w:color="auto"/>
          </w:divBdr>
        </w:div>
        <w:div w:id="2003001147">
          <w:marLeft w:val="0"/>
          <w:marRight w:val="0"/>
          <w:marTop w:val="0"/>
          <w:marBottom w:val="0"/>
          <w:divBdr>
            <w:top w:val="none" w:sz="0" w:space="0" w:color="auto"/>
            <w:left w:val="none" w:sz="0" w:space="0" w:color="auto"/>
            <w:bottom w:val="none" w:sz="0" w:space="0" w:color="auto"/>
            <w:right w:val="none" w:sz="0" w:space="0" w:color="auto"/>
          </w:divBdr>
        </w:div>
        <w:div w:id="2003466218">
          <w:marLeft w:val="0"/>
          <w:marRight w:val="0"/>
          <w:marTop w:val="0"/>
          <w:marBottom w:val="0"/>
          <w:divBdr>
            <w:top w:val="none" w:sz="0" w:space="0" w:color="auto"/>
            <w:left w:val="none" w:sz="0" w:space="0" w:color="auto"/>
            <w:bottom w:val="none" w:sz="0" w:space="0" w:color="auto"/>
            <w:right w:val="none" w:sz="0" w:space="0" w:color="auto"/>
          </w:divBdr>
        </w:div>
        <w:div w:id="2066566832">
          <w:marLeft w:val="0"/>
          <w:marRight w:val="0"/>
          <w:marTop w:val="0"/>
          <w:marBottom w:val="0"/>
          <w:divBdr>
            <w:top w:val="none" w:sz="0" w:space="0" w:color="auto"/>
            <w:left w:val="none" w:sz="0" w:space="0" w:color="auto"/>
            <w:bottom w:val="none" w:sz="0" w:space="0" w:color="auto"/>
            <w:right w:val="none" w:sz="0" w:space="0" w:color="auto"/>
          </w:divBdr>
        </w:div>
      </w:divsChild>
    </w:div>
    <w:div w:id="647511259">
      <w:bodyDiv w:val="1"/>
      <w:marLeft w:val="0"/>
      <w:marRight w:val="0"/>
      <w:marTop w:val="0"/>
      <w:marBottom w:val="0"/>
      <w:divBdr>
        <w:top w:val="none" w:sz="0" w:space="0" w:color="auto"/>
        <w:left w:val="none" w:sz="0" w:space="0" w:color="auto"/>
        <w:bottom w:val="none" w:sz="0" w:space="0" w:color="auto"/>
        <w:right w:val="none" w:sz="0" w:space="0" w:color="auto"/>
      </w:divBdr>
    </w:div>
    <w:div w:id="900941351">
      <w:bodyDiv w:val="1"/>
      <w:marLeft w:val="0"/>
      <w:marRight w:val="0"/>
      <w:marTop w:val="0"/>
      <w:marBottom w:val="0"/>
      <w:divBdr>
        <w:top w:val="none" w:sz="0" w:space="0" w:color="auto"/>
        <w:left w:val="none" w:sz="0" w:space="0" w:color="auto"/>
        <w:bottom w:val="none" w:sz="0" w:space="0" w:color="auto"/>
        <w:right w:val="none" w:sz="0" w:space="0" w:color="auto"/>
      </w:divBdr>
    </w:div>
    <w:div w:id="957175093">
      <w:bodyDiv w:val="1"/>
      <w:marLeft w:val="0"/>
      <w:marRight w:val="0"/>
      <w:marTop w:val="0"/>
      <w:marBottom w:val="0"/>
      <w:divBdr>
        <w:top w:val="none" w:sz="0" w:space="0" w:color="auto"/>
        <w:left w:val="none" w:sz="0" w:space="0" w:color="auto"/>
        <w:bottom w:val="none" w:sz="0" w:space="0" w:color="auto"/>
        <w:right w:val="none" w:sz="0" w:space="0" w:color="auto"/>
      </w:divBdr>
      <w:divsChild>
        <w:div w:id="33620969">
          <w:marLeft w:val="0"/>
          <w:marRight w:val="0"/>
          <w:marTop w:val="0"/>
          <w:marBottom w:val="0"/>
          <w:divBdr>
            <w:top w:val="none" w:sz="0" w:space="0" w:color="auto"/>
            <w:left w:val="none" w:sz="0" w:space="0" w:color="auto"/>
            <w:bottom w:val="none" w:sz="0" w:space="0" w:color="auto"/>
            <w:right w:val="none" w:sz="0" w:space="0" w:color="auto"/>
          </w:divBdr>
        </w:div>
        <w:div w:id="91976009">
          <w:marLeft w:val="0"/>
          <w:marRight w:val="0"/>
          <w:marTop w:val="0"/>
          <w:marBottom w:val="0"/>
          <w:divBdr>
            <w:top w:val="none" w:sz="0" w:space="0" w:color="auto"/>
            <w:left w:val="none" w:sz="0" w:space="0" w:color="auto"/>
            <w:bottom w:val="none" w:sz="0" w:space="0" w:color="auto"/>
            <w:right w:val="none" w:sz="0" w:space="0" w:color="auto"/>
          </w:divBdr>
        </w:div>
        <w:div w:id="357049581">
          <w:marLeft w:val="0"/>
          <w:marRight w:val="0"/>
          <w:marTop w:val="0"/>
          <w:marBottom w:val="0"/>
          <w:divBdr>
            <w:top w:val="none" w:sz="0" w:space="0" w:color="auto"/>
            <w:left w:val="none" w:sz="0" w:space="0" w:color="auto"/>
            <w:bottom w:val="none" w:sz="0" w:space="0" w:color="auto"/>
            <w:right w:val="none" w:sz="0" w:space="0" w:color="auto"/>
          </w:divBdr>
        </w:div>
        <w:div w:id="590164964">
          <w:marLeft w:val="0"/>
          <w:marRight w:val="0"/>
          <w:marTop w:val="0"/>
          <w:marBottom w:val="0"/>
          <w:divBdr>
            <w:top w:val="none" w:sz="0" w:space="0" w:color="auto"/>
            <w:left w:val="none" w:sz="0" w:space="0" w:color="auto"/>
            <w:bottom w:val="none" w:sz="0" w:space="0" w:color="auto"/>
            <w:right w:val="none" w:sz="0" w:space="0" w:color="auto"/>
          </w:divBdr>
        </w:div>
        <w:div w:id="877812328">
          <w:marLeft w:val="0"/>
          <w:marRight w:val="0"/>
          <w:marTop w:val="0"/>
          <w:marBottom w:val="0"/>
          <w:divBdr>
            <w:top w:val="none" w:sz="0" w:space="0" w:color="auto"/>
            <w:left w:val="none" w:sz="0" w:space="0" w:color="auto"/>
            <w:bottom w:val="none" w:sz="0" w:space="0" w:color="auto"/>
            <w:right w:val="none" w:sz="0" w:space="0" w:color="auto"/>
          </w:divBdr>
        </w:div>
        <w:div w:id="1421442634">
          <w:marLeft w:val="0"/>
          <w:marRight w:val="0"/>
          <w:marTop w:val="0"/>
          <w:marBottom w:val="0"/>
          <w:divBdr>
            <w:top w:val="none" w:sz="0" w:space="0" w:color="auto"/>
            <w:left w:val="none" w:sz="0" w:space="0" w:color="auto"/>
            <w:bottom w:val="none" w:sz="0" w:space="0" w:color="auto"/>
            <w:right w:val="none" w:sz="0" w:space="0" w:color="auto"/>
          </w:divBdr>
        </w:div>
        <w:div w:id="1834370527">
          <w:marLeft w:val="0"/>
          <w:marRight w:val="0"/>
          <w:marTop w:val="0"/>
          <w:marBottom w:val="0"/>
          <w:divBdr>
            <w:top w:val="none" w:sz="0" w:space="0" w:color="auto"/>
            <w:left w:val="none" w:sz="0" w:space="0" w:color="auto"/>
            <w:bottom w:val="none" w:sz="0" w:space="0" w:color="auto"/>
            <w:right w:val="none" w:sz="0" w:space="0" w:color="auto"/>
          </w:divBdr>
        </w:div>
        <w:div w:id="2102868016">
          <w:marLeft w:val="0"/>
          <w:marRight w:val="0"/>
          <w:marTop w:val="0"/>
          <w:marBottom w:val="0"/>
          <w:divBdr>
            <w:top w:val="none" w:sz="0" w:space="0" w:color="auto"/>
            <w:left w:val="none" w:sz="0" w:space="0" w:color="auto"/>
            <w:bottom w:val="none" w:sz="0" w:space="0" w:color="auto"/>
            <w:right w:val="none" w:sz="0" w:space="0" w:color="auto"/>
          </w:divBdr>
        </w:div>
      </w:divsChild>
    </w:div>
    <w:div w:id="1135177898">
      <w:bodyDiv w:val="1"/>
      <w:marLeft w:val="0"/>
      <w:marRight w:val="0"/>
      <w:marTop w:val="0"/>
      <w:marBottom w:val="0"/>
      <w:divBdr>
        <w:top w:val="none" w:sz="0" w:space="0" w:color="auto"/>
        <w:left w:val="none" w:sz="0" w:space="0" w:color="auto"/>
        <w:bottom w:val="none" w:sz="0" w:space="0" w:color="auto"/>
        <w:right w:val="none" w:sz="0" w:space="0" w:color="auto"/>
      </w:divBdr>
      <w:divsChild>
        <w:div w:id="335351074">
          <w:marLeft w:val="0"/>
          <w:marRight w:val="0"/>
          <w:marTop w:val="0"/>
          <w:marBottom w:val="0"/>
          <w:divBdr>
            <w:top w:val="none" w:sz="0" w:space="0" w:color="auto"/>
            <w:left w:val="none" w:sz="0" w:space="0" w:color="auto"/>
            <w:bottom w:val="none" w:sz="0" w:space="0" w:color="auto"/>
            <w:right w:val="none" w:sz="0" w:space="0" w:color="auto"/>
          </w:divBdr>
        </w:div>
        <w:div w:id="345328687">
          <w:marLeft w:val="0"/>
          <w:marRight w:val="0"/>
          <w:marTop w:val="0"/>
          <w:marBottom w:val="0"/>
          <w:divBdr>
            <w:top w:val="none" w:sz="0" w:space="0" w:color="auto"/>
            <w:left w:val="none" w:sz="0" w:space="0" w:color="auto"/>
            <w:bottom w:val="none" w:sz="0" w:space="0" w:color="auto"/>
            <w:right w:val="none" w:sz="0" w:space="0" w:color="auto"/>
          </w:divBdr>
        </w:div>
        <w:div w:id="744910895">
          <w:marLeft w:val="0"/>
          <w:marRight w:val="0"/>
          <w:marTop w:val="0"/>
          <w:marBottom w:val="0"/>
          <w:divBdr>
            <w:top w:val="none" w:sz="0" w:space="0" w:color="auto"/>
            <w:left w:val="none" w:sz="0" w:space="0" w:color="auto"/>
            <w:bottom w:val="none" w:sz="0" w:space="0" w:color="auto"/>
            <w:right w:val="none" w:sz="0" w:space="0" w:color="auto"/>
          </w:divBdr>
        </w:div>
        <w:div w:id="1313751986">
          <w:marLeft w:val="0"/>
          <w:marRight w:val="0"/>
          <w:marTop w:val="0"/>
          <w:marBottom w:val="0"/>
          <w:divBdr>
            <w:top w:val="none" w:sz="0" w:space="0" w:color="auto"/>
            <w:left w:val="none" w:sz="0" w:space="0" w:color="auto"/>
            <w:bottom w:val="none" w:sz="0" w:space="0" w:color="auto"/>
            <w:right w:val="none" w:sz="0" w:space="0" w:color="auto"/>
          </w:divBdr>
        </w:div>
        <w:div w:id="1331248680">
          <w:marLeft w:val="0"/>
          <w:marRight w:val="0"/>
          <w:marTop w:val="0"/>
          <w:marBottom w:val="0"/>
          <w:divBdr>
            <w:top w:val="none" w:sz="0" w:space="0" w:color="auto"/>
            <w:left w:val="none" w:sz="0" w:space="0" w:color="auto"/>
            <w:bottom w:val="none" w:sz="0" w:space="0" w:color="auto"/>
            <w:right w:val="none" w:sz="0" w:space="0" w:color="auto"/>
          </w:divBdr>
        </w:div>
        <w:div w:id="1430586339">
          <w:marLeft w:val="0"/>
          <w:marRight w:val="0"/>
          <w:marTop w:val="0"/>
          <w:marBottom w:val="0"/>
          <w:divBdr>
            <w:top w:val="none" w:sz="0" w:space="0" w:color="auto"/>
            <w:left w:val="none" w:sz="0" w:space="0" w:color="auto"/>
            <w:bottom w:val="none" w:sz="0" w:space="0" w:color="auto"/>
            <w:right w:val="none" w:sz="0" w:space="0" w:color="auto"/>
          </w:divBdr>
        </w:div>
        <w:div w:id="1460227496">
          <w:marLeft w:val="0"/>
          <w:marRight w:val="0"/>
          <w:marTop w:val="0"/>
          <w:marBottom w:val="0"/>
          <w:divBdr>
            <w:top w:val="none" w:sz="0" w:space="0" w:color="auto"/>
            <w:left w:val="none" w:sz="0" w:space="0" w:color="auto"/>
            <w:bottom w:val="none" w:sz="0" w:space="0" w:color="auto"/>
            <w:right w:val="none" w:sz="0" w:space="0" w:color="auto"/>
          </w:divBdr>
        </w:div>
        <w:div w:id="1515655034">
          <w:marLeft w:val="0"/>
          <w:marRight w:val="0"/>
          <w:marTop w:val="0"/>
          <w:marBottom w:val="0"/>
          <w:divBdr>
            <w:top w:val="none" w:sz="0" w:space="0" w:color="auto"/>
            <w:left w:val="none" w:sz="0" w:space="0" w:color="auto"/>
            <w:bottom w:val="none" w:sz="0" w:space="0" w:color="auto"/>
            <w:right w:val="none" w:sz="0" w:space="0" w:color="auto"/>
          </w:divBdr>
        </w:div>
        <w:div w:id="1540632708">
          <w:marLeft w:val="0"/>
          <w:marRight w:val="0"/>
          <w:marTop w:val="0"/>
          <w:marBottom w:val="0"/>
          <w:divBdr>
            <w:top w:val="none" w:sz="0" w:space="0" w:color="auto"/>
            <w:left w:val="none" w:sz="0" w:space="0" w:color="auto"/>
            <w:bottom w:val="none" w:sz="0" w:space="0" w:color="auto"/>
            <w:right w:val="none" w:sz="0" w:space="0" w:color="auto"/>
          </w:divBdr>
        </w:div>
        <w:div w:id="1587566764">
          <w:marLeft w:val="0"/>
          <w:marRight w:val="0"/>
          <w:marTop w:val="0"/>
          <w:marBottom w:val="0"/>
          <w:divBdr>
            <w:top w:val="none" w:sz="0" w:space="0" w:color="auto"/>
            <w:left w:val="none" w:sz="0" w:space="0" w:color="auto"/>
            <w:bottom w:val="none" w:sz="0" w:space="0" w:color="auto"/>
            <w:right w:val="none" w:sz="0" w:space="0" w:color="auto"/>
          </w:divBdr>
        </w:div>
        <w:div w:id="1769306983">
          <w:marLeft w:val="0"/>
          <w:marRight w:val="0"/>
          <w:marTop w:val="0"/>
          <w:marBottom w:val="0"/>
          <w:divBdr>
            <w:top w:val="none" w:sz="0" w:space="0" w:color="auto"/>
            <w:left w:val="none" w:sz="0" w:space="0" w:color="auto"/>
            <w:bottom w:val="none" w:sz="0" w:space="0" w:color="auto"/>
            <w:right w:val="none" w:sz="0" w:space="0" w:color="auto"/>
          </w:divBdr>
        </w:div>
      </w:divsChild>
    </w:div>
    <w:div w:id="1432312506">
      <w:bodyDiv w:val="1"/>
      <w:marLeft w:val="0"/>
      <w:marRight w:val="0"/>
      <w:marTop w:val="0"/>
      <w:marBottom w:val="0"/>
      <w:divBdr>
        <w:top w:val="none" w:sz="0" w:space="0" w:color="auto"/>
        <w:left w:val="none" w:sz="0" w:space="0" w:color="auto"/>
        <w:bottom w:val="none" w:sz="0" w:space="0" w:color="auto"/>
        <w:right w:val="none" w:sz="0" w:space="0" w:color="auto"/>
      </w:divBdr>
    </w:div>
    <w:div w:id="1767118750">
      <w:bodyDiv w:val="1"/>
      <w:marLeft w:val="0"/>
      <w:marRight w:val="0"/>
      <w:marTop w:val="0"/>
      <w:marBottom w:val="0"/>
      <w:divBdr>
        <w:top w:val="none" w:sz="0" w:space="0" w:color="auto"/>
        <w:left w:val="none" w:sz="0" w:space="0" w:color="auto"/>
        <w:bottom w:val="none" w:sz="0" w:space="0" w:color="auto"/>
        <w:right w:val="none" w:sz="0" w:space="0" w:color="auto"/>
      </w:divBdr>
    </w:div>
    <w:div w:id="1786924498">
      <w:bodyDiv w:val="1"/>
      <w:marLeft w:val="0"/>
      <w:marRight w:val="0"/>
      <w:marTop w:val="0"/>
      <w:marBottom w:val="0"/>
      <w:divBdr>
        <w:top w:val="none" w:sz="0" w:space="0" w:color="auto"/>
        <w:left w:val="none" w:sz="0" w:space="0" w:color="auto"/>
        <w:bottom w:val="none" w:sz="0" w:space="0" w:color="auto"/>
        <w:right w:val="none" w:sz="0" w:space="0" w:color="auto"/>
      </w:divBdr>
    </w:div>
    <w:div w:id="1969122106">
      <w:bodyDiv w:val="1"/>
      <w:marLeft w:val="0"/>
      <w:marRight w:val="0"/>
      <w:marTop w:val="0"/>
      <w:marBottom w:val="0"/>
      <w:divBdr>
        <w:top w:val="none" w:sz="0" w:space="0" w:color="auto"/>
        <w:left w:val="none" w:sz="0" w:space="0" w:color="auto"/>
        <w:bottom w:val="none" w:sz="0" w:space="0" w:color="auto"/>
        <w:right w:val="none" w:sz="0" w:space="0" w:color="auto"/>
      </w:divBdr>
    </w:div>
    <w:div w:id="199132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shboard.elering.ee/en/transmission/" TargetMode="External"/><Relationship Id="rId18" Type="http://schemas.openxmlformats.org/officeDocument/2006/relationships/hyperlink" Target="https://www.sciencedirect.com/science/article/abs/pii/S0301421500001026" TargetMode="External"/><Relationship Id="rId26" Type="http://schemas.openxmlformats.org/officeDocument/2006/relationships/hyperlink" Target="https://www.sciencedirect.com/science/article/pii/S0301421517308029?casa_token=8x11qKPrPAwAAAAA:l9TfAMJOljIrmB5zWXU0hoEhz3NkPk8NcaHvtK5A59lHuTsb0KghmuxQoTeDNWFdimXn0JUFkpJl" TargetMode="External"/><Relationship Id="rId3" Type="http://schemas.openxmlformats.org/officeDocument/2006/relationships/styles" Target="styles.xml"/><Relationship Id="rId21" Type="http://schemas.openxmlformats.org/officeDocument/2006/relationships/hyperlink" Target="https://doi.org/10.1016/S1364-0321(03)00069-8" TargetMode="External"/><Relationship Id="rId34" Type="http://schemas.openxmlformats.org/officeDocument/2006/relationships/hyperlink" Target="https://www.envidat.ch/" TargetMode="External"/><Relationship Id="rId7" Type="http://schemas.openxmlformats.org/officeDocument/2006/relationships/endnotes" Target="endnotes.xml"/><Relationship Id="rId12" Type="http://schemas.openxmlformats.org/officeDocument/2006/relationships/hyperlink" Target="https://www.ceer.eu/wp-content/uploads/2024/04/C23_Estiona_EN.pdf" TargetMode="External"/><Relationship Id="rId17" Type="http://schemas.openxmlformats.org/officeDocument/2006/relationships/hyperlink" Target="https://www.sciencedirect.com/science/article/abs/pii/S096014812300811X" TargetMode="External"/><Relationship Id="rId25" Type="http://schemas.openxmlformats.org/officeDocument/2006/relationships/hyperlink" Target="https://www.tandfonline.com/doi/full/10.1080/00036846.2022.2137294" TargetMode="External"/><Relationship Id="rId33" Type="http://schemas.openxmlformats.org/officeDocument/2006/relationships/hyperlink" Target="https://www.unisg.ch/en/newsroom/new-research-project-investigates-the-relation-between-financial-participation-and-social-acceptance-of-wind-energy/" TargetMode="External"/><Relationship Id="rId2" Type="http://schemas.openxmlformats.org/officeDocument/2006/relationships/numbering" Target="numbering.xml"/><Relationship Id="rId16" Type="http://schemas.openxmlformats.org/officeDocument/2006/relationships/hyperlink" Target="https://www.sciencedirect.com/science/article/pii/S0140988313000911?casa_token=UgN5gMmoDZIAAAAA:Q5M1aN71MPYW7jWcjxXbK3Kxw2FlHJDUx67XW3GiLjZnARKED8FzT_ezW7oKp0iOTULmZRthXLeH" TargetMode="External"/><Relationship Id="rId20" Type="http://schemas.openxmlformats.org/officeDocument/2006/relationships/hyperlink" Target="https://doi.org/10.1016/j.eneco.2008.12.004" TargetMode="External"/><Relationship Id="rId29" Type="http://schemas.openxmlformats.org/officeDocument/2006/relationships/hyperlink" Target="https://ocdc.coop/wp-content/uploads/2024/01/Energy-Cooperatives-in-Selected-Countries-of-the-World_-Legal-and-Economic-Aspect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energiebilanzen.de/daten-und-fakten/auswertungstabellen/" TargetMode="External"/><Relationship Id="rId24" Type="http://schemas.openxmlformats.org/officeDocument/2006/relationships/hyperlink" Target="https://www.prezzi-elettricita.elcom.admin.ch/" TargetMode="External"/><Relationship Id="rId32" Type="http://schemas.openxmlformats.org/officeDocument/2006/relationships/hyperlink" Target="https://www.iea.org/policies/17800-denmark-community-ownership-of-renewable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jupyter.zazuko.com/electricity_prices.html" TargetMode="External"/><Relationship Id="rId28" Type="http://schemas.openxmlformats.org/officeDocument/2006/relationships/hyperlink" Target="https://www.dora.lib4ri.ch/wsl/islandora/object/wsl:18943/datastream/PDF/view" TargetMode="External"/><Relationship Id="rId36" Type="http://schemas.openxmlformats.org/officeDocument/2006/relationships/theme" Target="theme/theme1.xml"/><Relationship Id="rId10" Type="http://schemas.openxmlformats.org/officeDocument/2006/relationships/hyperlink" Target="https://www.iea.org/countries/estonia/electricity" TargetMode="External"/><Relationship Id="rId19" Type="http://schemas.openxmlformats.org/officeDocument/2006/relationships/hyperlink" Target="https://doi.org/10.1016/j.jup.2022.101405" TargetMode="External"/><Relationship Id="rId31" Type="http://schemas.openxmlformats.org/officeDocument/2006/relationships/hyperlink" Target="https://stateofgreen.com/en/solutions/middelgrunden-wind-turbine-co-operative-middelgrunden-vindmollelaug/" TargetMode="External"/><Relationship Id="rId4" Type="http://schemas.openxmlformats.org/officeDocument/2006/relationships/settings" Target="settings.xml"/><Relationship Id="rId9" Type="http://schemas.openxmlformats.org/officeDocument/2006/relationships/hyperlink" Target="https://www.fingrid.fi/en/news/news/2024/failure-on-estlink-2-interconnection-26.1.2024/" TargetMode="External"/><Relationship Id="rId14" Type="http://schemas.openxmlformats.org/officeDocument/2006/relationships/hyperlink" Target="https://elering.ee/en/article/both-solar-and-wind-energy-production-exceeded-one-terawatt-hours-last-year" TargetMode="External"/><Relationship Id="rId22" Type="http://schemas.openxmlformats.org/officeDocument/2006/relationships/hyperlink" Target="https://ec.europa.eu/eurostat/databrowser/view/nrg_ind_market/default/table?lang=en&amp;category=nrg.nrg_market" TargetMode="External"/><Relationship Id="rId27" Type="http://schemas.openxmlformats.org/officeDocument/2006/relationships/hyperlink" Target="https://www.sciencedirect.com/science/article/abs/pii/S0301421513008276?casa_token=taml3KcZoD4AAAAA:CANsjmBStF8jMC1aQkOnSWgNVaVRFeeScL_RGX6jsYKM2_gRywqo8sG3f8dTgYHBZFJ_lBVGfWmD" TargetMode="External"/><Relationship Id="rId30" Type="http://schemas.openxmlformats.org/officeDocument/2006/relationships/hyperlink" Target="https://www.sciencedirect.com/science/article/abs/pii/S0960148114001293?casa_token=nEO5O78RRZUAAAAA:fI9z8Z2DLDPgI5l7eftrnD-k-O4Nw1uSNOFO9CJxmAtl_jHq_auNkkRQ7wTvH8LxG6cbKMpztRHL" TargetMode="External"/><Relationship Id="rId35" Type="http://schemas.openxmlformats.org/officeDocument/2006/relationships/fontTable" Target="fontTable.xml"/><Relationship Id="rId8" Type="http://schemas.openxmlformats.org/officeDocument/2006/relationships/hyperlink" Target="https://news.err.ee/1609560328/estonian-finnish-undersea-power-link-estlink-2-down-again-due-to-faul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15617-1229-4A7B-BE81-58F7F5176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27210</TotalTime>
  <Pages>1</Pages>
  <Words>2742</Words>
  <Characters>15633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Scapini Elia</dc:creator>
  <cp:keywords/>
  <dc:description/>
  <cp:lastModifiedBy>Elia Scapini</cp:lastModifiedBy>
  <cp:revision>70</cp:revision>
  <dcterms:created xsi:type="dcterms:W3CDTF">2025-03-19T20:07:00Z</dcterms:created>
  <dcterms:modified xsi:type="dcterms:W3CDTF">2025-10-21T20:32:00Z</dcterms:modified>
</cp:coreProperties>
</file>