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Pentagon Gelenklaterne</w:t>
      </w:r>
    </w:p>
    <w:p>
      <w:r>
        <w:t>Abschlussbericht und Codex Übergabe · 25. Oktober 2026</w:t>
      </w:r>
    </w:p>
    <w:p>
      <w:r>
        <w:t>Die Pentagon-Gelenklaterne verbindet einen geführten Pentagon-Stabtubus mit einer untersuchten Dreieckshaut und einem neu konstruierten Schiebedeckel. Der Deckel kann die Öffnung in der Draufsicht schließen und den Referenzpin freihalten. Eine gemeinsam bewegliche starre Haut ist für die geprüfte Referenz dagegen nicht bestätigt.</w:t>
      </w:r>
    </w:p>
    <w:p>
      <w:r>
        <w:t>Referenz: Pentagonseite s=1, gesamte Verbindungslänge L=1, Rahmenwinkel θ=36°, Gelenkinnenwinkel γ=137° und Abknickung β=43°. Die Ergebnisse betreffen dieses mathematische Modell und die ausdrücklich beschriebene neue Deckelkonstruktion.</w:t>
      </w:r>
    </w:p>
    <w:tbl>
      <w:tblPr>
        <w:tblW w:type="auto" w:w="0"/>
        <w:tblLayout w:type="fixed"/>
        <w:tblLook w:firstColumn="1" w:firstRow="1" w:lastColumn="0" w:lastRow="0" w:noHBand="0" w:noVBand="1" w:val="04A0"/>
      </w:tblPr>
      <w:tblGrid>
        <w:gridCol w:w="1440"/>
        <w:gridCol w:w="2304"/>
        <w:gridCol w:w="6192"/>
      </w:tblGrid>
      <w:tr>
        <w:tc>
          <w:tcPr>
            <w:tcW w:type="dxa" w:w="1440"/>
            <w:vAlign w:val="center"/>
            <w:tcBorders>
              <w:top w:val="single" w:sz="4" w:color="D9D9D9"/>
              <w:left w:val="single" w:sz="4" w:color="D9D9D9"/>
              <w:bottom w:val="single" w:sz="4" w:color="D9D9D9"/>
              <w:right w:val="single" w:sz="4" w:color="D9D9D9"/>
            </w:tcBorders>
            <w:shd w:fill="24394F"/>
          </w:tcPr>
          <w:p>
            <w:pPr>
              <w:spacing w:after="100" w:before="100"/>
              <w:jc w:val="left"/>
            </w:pPr>
            <w:r>
              <w:rPr>
                <w:b/>
                <w:color w:val="FFFFFF"/>
                <w:sz w:val="20"/>
              </w:rPr>
              <w:t>Test</w:t>
            </w:r>
          </w:p>
        </w:tc>
        <w:tc>
          <w:tcPr>
            <w:tcW w:type="dxa" w:w="2304"/>
            <w:vAlign w:val="center"/>
            <w:tcBorders>
              <w:top w:val="single" w:sz="4" w:color="D9D9D9"/>
              <w:left w:val="single" w:sz="4" w:color="D9D9D9"/>
              <w:bottom w:val="single" w:sz="4" w:color="D9D9D9"/>
              <w:right w:val="single" w:sz="4" w:color="D9D9D9"/>
            </w:tcBorders>
            <w:shd w:fill="24394F"/>
          </w:tcPr>
          <w:p>
            <w:pPr>
              <w:spacing w:after="100" w:before="100"/>
            </w:pPr>
            <w:r>
              <w:rPr>
                <w:b/>
                <w:color w:val="FFFFFF"/>
                <w:sz w:val="20"/>
              </w:rPr>
              <w:t>Stand</w:t>
            </w:r>
          </w:p>
        </w:tc>
        <w:tc>
          <w:tcPr>
            <w:tcW w:type="dxa" w:w="6192"/>
            <w:vAlign w:val="center"/>
            <w:tcBorders>
              <w:top w:val="single" w:sz="4" w:color="D9D9D9"/>
              <w:left w:val="single" w:sz="4" w:color="D9D9D9"/>
              <w:bottom w:val="single" w:sz="4" w:color="D9D9D9"/>
              <w:right w:val="single" w:sz="4" w:color="D9D9D9"/>
            </w:tcBorders>
            <w:shd w:fill="24394F"/>
          </w:tcPr>
          <w:p>
            <w:pPr>
              <w:spacing w:after="100" w:before="100"/>
            </w:pPr>
            <w:r>
              <w:rPr>
                <w:b/>
                <w:color w:val="FFFFFF"/>
                <w:sz w:val="20"/>
              </w:rPr>
              <w:t>Befund</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100" w:before="100"/>
              <w:jc w:val="left"/>
            </w:pPr>
            <w:r>
              <w:rPr>
                <w:b w:val="0"/>
                <w:color w:val="000000"/>
                <w:sz w:val="20"/>
              </w:rPr>
              <w:t>1 Rollen</w:t>
            </w:r>
          </w:p>
        </w:tc>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Geometrie gebunden</w:t>
            </w:r>
          </w:p>
        </w:tc>
        <w:tc>
          <w:tcPr>
            <w:tcW w:type="dxa" w:w="6192"/>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 B, M und P eindeutig; historische Plattennamen offen.</w:t>
            </w:r>
          </w:p>
        </w:tc>
      </w:tr>
      <w:tr>
        <w:tc>
          <w:tcPr>
            <w:tcW w:type="dxa" w:w="1440"/>
            <w:vAlign w:val="center"/>
            <w:tcBorders>
              <w:top w:val="single" w:sz="4" w:color="D9D9D9"/>
              <w:left w:val="single" w:sz="4" w:color="D9D9D9"/>
              <w:bottom w:val="single" w:sz="4" w:color="D9D9D9"/>
              <w:right w:val="single" w:sz="4" w:color="D9D9D9"/>
            </w:tcBorders>
            <w:shd w:fill="EEF3F7"/>
          </w:tcPr>
          <w:p>
            <w:pPr>
              <w:spacing w:after="100" w:before="100"/>
              <w:jc w:val="left"/>
            </w:pPr>
            <w:r>
              <w:rPr>
                <w:b w:val="0"/>
                <w:color w:val="000000"/>
                <w:sz w:val="20"/>
              </w:rPr>
              <w:t>2 Deckel</w:t>
            </w:r>
          </w:p>
        </w:tc>
        <w:tc>
          <w:tcPr>
            <w:tcW w:type="dxa" w:w="2304"/>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Neue Variante bestanden</w:t>
            </w:r>
          </w:p>
        </w:tc>
        <w:tc>
          <w:tcPr>
            <w:tcW w:type="dxa" w:w="6192"/>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Projizierte Öffnung schließt; fünf getrennte Schieberebenen.</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100" w:before="100"/>
              <w:jc w:val="left"/>
            </w:pPr>
            <w:r>
              <w:rPr>
                <w:b w:val="0"/>
                <w:color w:val="000000"/>
                <w:sz w:val="20"/>
              </w:rPr>
              <w:t>3 Pin</w:t>
            </w:r>
          </w:p>
        </w:tc>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Stichprobe bestanden</w:t>
            </w:r>
          </w:p>
        </w:tc>
        <w:tc>
          <w:tcPr>
            <w:tcW w:type="dxa" w:w="6192"/>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362 Faltstellungen ohne Pinschnitt; kein Schweben modelliert.</w:t>
            </w:r>
          </w:p>
        </w:tc>
      </w:tr>
      <w:tr>
        <w:tc>
          <w:tcPr>
            <w:tcW w:type="dxa" w:w="1440"/>
            <w:vAlign w:val="center"/>
            <w:tcBorders>
              <w:top w:val="single" w:sz="4" w:color="D9D9D9"/>
              <w:left w:val="single" w:sz="4" w:color="D9D9D9"/>
              <w:bottom w:val="single" w:sz="4" w:color="D9D9D9"/>
              <w:right w:val="single" w:sz="4" w:color="D9D9D9"/>
            </w:tcBorders>
            <w:shd w:fill="EEF3F7"/>
          </w:tcPr>
          <w:p>
            <w:pPr>
              <w:spacing w:after="100" w:before="100"/>
              <w:jc w:val="left"/>
            </w:pPr>
            <w:r>
              <w:rPr>
                <w:b w:val="0"/>
                <w:color w:val="000000"/>
                <w:sz w:val="20"/>
              </w:rPr>
              <w:t>4 Gemeinsame Haut</w:t>
            </w:r>
          </w:p>
        </w:tc>
        <w:tc>
          <w:tcPr>
            <w:tcW w:type="dxa" w:w="2304"/>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Bewegung nicht bestätigt</w:t>
            </w:r>
          </w:p>
        </w:tc>
        <w:tc>
          <w:tcPr>
            <w:tcW w:type="dxa" w:w="6192"/>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Rang 30 bei 30 freien Koordinaten; numerisch lokal starr.</w:t>
            </w:r>
          </w:p>
        </w:tc>
      </w:tr>
    </w:tbl>
    <w:p>
      <w:pPr>
        <w:pStyle w:val="Heading1"/>
      </w:pPr>
      <w:r>
        <w:t>1 Bauteile und Zuordnung</w:t>
      </w:r>
    </w:p>
    <w:p>
      <w:r>
        <w:t>A0–A4 sind die fünf unteren Rahmenpunkte, B0–B4 die oberen und M0–M4 die mittleren Gelenke. Die M-Punkte bilden das virtuelle Ghostpentagon. P=(0,0,h/2) ist ein vorgeschriebener Referenzpunkt; für Abstandstests wird er durch eine Kugel mit Radius 0,04s ersetzt.</w:t>
      </w:r>
    </w:p>
    <w:p>
      <w:r>
        <w:t>Die Bezeichnungen „lila Platte“ und „Algo-Platte“ besitzen noch keine eindeutige historische Bindung an diese Bauteile. Der Pink Strip wird als Arbeitsbild der mittleren Fugen geführt. Seine Identität mit einer konkreten A0-Quelle bleibt offen.</w:t>
      </w:r>
    </w:p>
    <w:p>
      <w:r>
        <w:t>Das „Schiffchen“ unten und die Richtung oben sind Beobachtungen aus einer Perspektive. Sie definieren noch keinen geometrischen Bug oder eine feste Vorzugsrichtung. Im Screenshot mit θ=12,5° war links die aktuelle Stellung und rechts die eingefrorene Referenz mit eigener Skalierung zu sehen. Das neue zuschaltbare Overlay projiziert beide im selben Koordinatensystem und Maßstab.</w:t>
      </w:r>
    </w:p>
    <w:p>
      <w:r>
        <w:br w:type="page"/>
      </w:r>
    </w:p>
    <w:p>
      <w:pPr>
        <w:pStyle w:val="Heading1"/>
      </w:pPr>
      <w:r>
        <w:t>2 Deckel und projizierte Öffnung</w:t>
      </w:r>
    </w:p>
    <w:p>
      <w:r>
        <w:t>Die neue Variante besteht aus fünf starren Rechtecken. Jedes verschiebt sich entlang einer radialen Normalen; die Rechtecke liegen in fünf getrennten Höhenlagen. Ihre Schatten in Draufsicht lassen eine regelmäßige Pentagon-Apertur frei. Diese Konstruktion ist eine neue Schiebeiris, keine Rekonstruktion eines historischen A0-Mechanismus.</w:t>
      </w:r>
    </w:p>
    <w:p>
      <w:r>
        <w:drawing>
          <wp:inline xmlns:a="http://schemas.openxmlformats.org/drawingml/2006/main" xmlns:pic="http://schemas.openxmlformats.org/drawingml/2006/picture">
            <wp:extent cx="6217920" cy="1835767"/>
            <wp:docPr id="1" name="Picture 1"/>
            <wp:cNvGraphicFramePr>
              <a:graphicFrameLocks noChangeAspect="1"/>
            </wp:cNvGraphicFramePr>
            <a:graphic>
              <a:graphicData uri="http://schemas.openxmlformats.org/drawingml/2006/picture">
                <pic:pic>
                  <pic:nvPicPr>
                    <pic:cNvPr id="0" name="lantern-iris-report.png"/>
                    <pic:cNvPicPr/>
                  </pic:nvPicPr>
                  <pic:blipFill>
                    <a:blip r:embed="rId9"/>
                    <a:stretch>
                      <a:fillRect/>
                    </a:stretch>
                  </pic:blipFill>
                  <pic:spPr>
                    <a:xfrm>
                      <a:off x="0" y="0"/>
                      <a:ext cx="6217920" cy="1835767"/>
                    </a:xfrm>
                    <a:prstGeom prst="rect"/>
                  </pic:spPr>
                </pic:pic>
              </a:graphicData>
            </a:graphic>
          </wp:inline>
        </w:drawing>
      </w:r>
    </w:p>
    <w:p>
      <w:r>
        <w:t>Draufsicht der neuen Schiebeiris. Die Farben markieren getrennte Höhenlagen.</w:t>
      </w:r>
    </w:p>
    <w:p>
      <w:r>
        <w:t>101 Zustände wurden durch Polygon-Clipping unabhängig gegen die analytische Flächenformel geprüft. Bei u=0 beträgt die Fläche 0,145308506s²; ab u=20/21≈0,952381 ist keine positive Flächenöffnung mehr vorhanden. Bei u=1 beträgt die Überdeckung 0,01s.</w:t>
      </w:r>
    </w:p>
    <w:p>
      <w:r>
        <w:t>Schieberdicke 0,01s und Ebenenabstand 0,025s ergeben 0,015s vertikalen Zwischenraum. Die Unterseite des Deckels liegt bei z=0,980947759s. Die gesamte Höhenhülle aller lokalen Dreiecksfaltungen beider Diagonalen reicht höchstens bis z=0,860947759s; die Reserve beträgt 0,12s. Diese Schranke umfasst die vollständigen Kreisbahnen der bewegten Eckpunkte.</w:t>
      </w:r>
    </w:p>
    <w:p>
      <w:r>
        <w:t>Die Trennung verhindert im beschriebenen Modell Schieber-Schieber- und Deckel-Haut-Schnitte. Gehäuse, Führungen, Antrieb und Anbindung sind nicht enthalten. Eine geschlossene Draufsicht bedeutet weder Dichtheit noch einen Verschluss zur Pyramidenspitze T.</w:t>
      </w:r>
    </w:p>
    <w:p>
      <w:pPr>
        <w:pStyle w:val="Heading1"/>
      </w:pPr>
      <w:r>
        <w:t>3 Pin und Freiraum</w:t>
      </w:r>
    </w:p>
    <w:p>
      <w:r>
        <w:t>Die Pinsphäre liegt bei P=(0; 0; 0,383824064s) und hat Radius 0,04s. Für beide Diagonalwahlen wurden je 181 lokale Faltstellungen von −90° bis +90° in 1°-Schritten geprüft. Abstand ist die minimale Entfernung vom Kugelmittelpunkt zu allen Dreiecken, vermindert um den Kugelradius.</w:t>
      </w:r>
    </w:p>
    <w:p>
      <w:r>
        <w:t>In allen 362 Zuständen blieb der Abstand positiv. Der kleinste abgetastete Hautabstand beträgt 0,375998760s bei Diagonale 0–2 und −90°. Die Abstandsroutine wurde gesondert an Flächeninnenpunkt, Kante, Ecke und Ebenenversatz geprüft.</w:t>
      </w:r>
    </w:p>
    <w:p>
      <w:r>
        <w:t>Der Deckel bleibt aufgrund seiner festen Höhenlage über den gesamten Schiebeweg mindestens 0,557123695s von der Pinsphäre entfernt. Zu den virtuellen Rahmenebenen beträgt der Abstand 0,343824064s. Die 362 Hautproben sind keine kontinuierliche Kollisionszertifizierung. Kräfte, Zug, Lagerung und Levitation werden nicht modelliert.</w:t>
      </w:r>
    </w:p>
    <w:p>
      <w:r>
        <w:br w:type="page"/>
      </w:r>
    </w:p>
    <w:p>
      <w:pPr>
        <w:pStyle w:val="Heading1"/>
      </w:pPr>
      <w:r>
        <w:t>4 Gemeinsame Bewegung der starren Haut</w:t>
      </w:r>
    </w:p>
    <w:p>
      <w:r>
        <w:t>Die Haut besteht aus 20 Dreiecken mit 15 Eckadressen und 35 Netzkanten. Der untere Rahmen wird vollständig festgehalten; beim oberen Rahmen sichern die zusätzlichen fünf Diagonalen dessen starre Form. Einschließlich der redundanten Kanten des unteren Rahmens entstehen 45 Abstandsgleichungen für 30 freie Koordinaten der M- und B-Punkte.</w:t>
      </w:r>
    </w:p>
    <w:p>
      <w:r>
        <w:t>Die linearisierte Abstandsmatrix besitzt für beide Diagonalwahlen Rang 30. Kleinste Singulärwerte: 0,136428537 für Diagonale 0–2 und 0,203462280 für 1–3. Der Jacobian wurde durch zentrale Differenzen unabhängig kontrolliert; maximaler Fehler 2,02·10⁻¹⁰. Unter diesen Randbedingungen ergibt sich numerisch keine lokale Bewegungsfreiheit.</w:t>
      </w:r>
    </w:p>
    <w:p>
      <w:r>
        <w:t>Zusätzlich wurden koaxiale Zielstellungen θ=7°, 33°, 36°, 46° und 78° optimiert. Frei waren die Höhe des oberen Rahmens und sämtliche 15 Koordinaten der M-Gelenke. Je sechs Starts und beide Diagonalwahlen ergeben 60 Optimierungsläufe. Nur θ=36° gewinnt die Referenz exakt zurück. Die übrigen besten Lösungen behalten Kantenfehler; Solver-Konvergenz ist dort keine erfüllte Geometrie.</w:t>
      </w:r>
    </w:p>
    <w:tbl>
      <w:tblPr>
        <w:tblW w:type="auto" w:w="0"/>
        <w:tblLayout w:type="fixed"/>
        <w:tblLook w:firstColumn="1" w:firstRow="1" w:lastColumn="0" w:lastRow="0" w:noHBand="0" w:noVBand="1" w:val="04A0"/>
      </w:tblPr>
      <w:tblGrid>
        <w:gridCol w:w="1584"/>
        <w:gridCol w:w="4176"/>
        <w:gridCol w:w="4176"/>
      </w:tblGrid>
      <w:tr>
        <w:tc>
          <w:tcPr>
            <w:tcW w:type="dxa" w:w="1584"/>
            <w:vAlign w:val="center"/>
            <w:tcBorders>
              <w:top w:val="single" w:sz="4" w:color="D9D9D9"/>
              <w:left w:val="single" w:sz="4" w:color="D9D9D9"/>
              <w:bottom w:val="single" w:sz="4" w:color="D9D9D9"/>
              <w:right w:val="single" w:sz="4" w:color="D9D9D9"/>
            </w:tcBorders>
            <w:shd w:fill="24394F"/>
          </w:tcPr>
          <w:p>
            <w:pPr>
              <w:spacing w:after="100" w:before="100"/>
              <w:jc w:val="left"/>
            </w:pPr>
            <w:r>
              <w:rPr>
                <w:b/>
                <w:color w:val="FFFFFF"/>
                <w:sz w:val="20"/>
              </w:rPr>
              <w:t>Zielwinkel θ</w:t>
            </w:r>
          </w:p>
        </w:tc>
        <w:tc>
          <w:tcPr>
            <w:tcW w:type="dxa" w:w="4176"/>
            <w:vAlign w:val="center"/>
            <w:tcBorders>
              <w:top w:val="single" w:sz="4" w:color="D9D9D9"/>
              <w:left w:val="single" w:sz="4" w:color="D9D9D9"/>
              <w:bottom w:val="single" w:sz="4" w:color="D9D9D9"/>
              <w:right w:val="single" w:sz="4" w:color="D9D9D9"/>
            </w:tcBorders>
            <w:shd w:fill="24394F"/>
          </w:tcPr>
          <w:p>
            <w:pPr>
              <w:spacing w:after="100" w:before="100"/>
            </w:pPr>
            <w:r>
              <w:rPr>
                <w:b/>
                <w:color w:val="FFFFFF"/>
                <w:sz w:val="20"/>
              </w:rPr>
              <w:t>Kantenfehler 0–2 in s</w:t>
            </w:r>
          </w:p>
        </w:tc>
        <w:tc>
          <w:tcPr>
            <w:tcW w:type="dxa" w:w="4176"/>
            <w:vAlign w:val="center"/>
            <w:tcBorders>
              <w:top w:val="single" w:sz="4" w:color="D9D9D9"/>
              <w:left w:val="single" w:sz="4" w:color="D9D9D9"/>
              <w:bottom w:val="single" w:sz="4" w:color="D9D9D9"/>
              <w:right w:val="single" w:sz="4" w:color="D9D9D9"/>
            </w:tcBorders>
            <w:shd w:fill="24394F"/>
          </w:tcPr>
          <w:p>
            <w:pPr>
              <w:spacing w:after="100" w:before="100"/>
            </w:pPr>
            <w:r>
              <w:rPr>
                <w:b/>
                <w:color w:val="FFFFFF"/>
                <w:sz w:val="20"/>
              </w:rPr>
              <w:t>Kantenfehler 1–3 in s</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100" w:before="100"/>
              <w:jc w:val="left"/>
            </w:pPr>
            <w:r>
              <w:rPr>
                <w:b w:val="0"/>
                <w:color w:val="000000"/>
                <w:sz w:val="20"/>
              </w:rPr>
              <w:t>7°</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0.085988451</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0.143008605</w:t>
            </w:r>
          </w:p>
        </w:tc>
      </w:tr>
      <w:tr>
        <w:tc>
          <w:tcPr>
            <w:tcW w:type="dxa" w:w="1584"/>
            <w:vAlign w:val="center"/>
            <w:tcBorders>
              <w:top w:val="single" w:sz="4" w:color="D9D9D9"/>
              <w:left w:val="single" w:sz="4" w:color="D9D9D9"/>
              <w:bottom w:val="single" w:sz="4" w:color="D9D9D9"/>
              <w:right w:val="single" w:sz="4" w:color="D9D9D9"/>
            </w:tcBorders>
            <w:shd w:fill="EEF3F7"/>
          </w:tcPr>
          <w:p>
            <w:pPr>
              <w:spacing w:after="100" w:before="100"/>
              <w:jc w:val="left"/>
            </w:pPr>
            <w:r>
              <w:rPr>
                <w:b w:val="0"/>
                <w:color w:val="000000"/>
                <w:sz w:val="20"/>
              </w:rPr>
              <w:t>33°</w:t>
            </w:r>
          </w:p>
        </w:tc>
        <w:tc>
          <w:tcPr>
            <w:tcW w:type="dxa" w:w="4176"/>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0.007011397</w:t>
            </w:r>
          </w:p>
        </w:tc>
        <w:tc>
          <w:tcPr>
            <w:tcW w:type="dxa" w:w="4176"/>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0.018020750</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100" w:before="100"/>
              <w:jc w:val="left"/>
            </w:pPr>
            <w:r>
              <w:rPr>
                <w:b w:val="0"/>
                <w:color w:val="000000"/>
                <w:sz w:val="20"/>
              </w:rPr>
              <w:t>36°</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0.000000000</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0.000000000</w:t>
            </w:r>
          </w:p>
        </w:tc>
      </w:tr>
      <w:tr>
        <w:tc>
          <w:tcPr>
            <w:tcW w:type="dxa" w:w="1584"/>
            <w:vAlign w:val="center"/>
            <w:tcBorders>
              <w:top w:val="single" w:sz="4" w:color="D9D9D9"/>
              <w:left w:val="single" w:sz="4" w:color="D9D9D9"/>
              <w:bottom w:val="single" w:sz="4" w:color="D9D9D9"/>
              <w:right w:val="single" w:sz="4" w:color="D9D9D9"/>
            </w:tcBorders>
            <w:shd w:fill="EEF3F7"/>
          </w:tcPr>
          <w:p>
            <w:pPr>
              <w:spacing w:after="100" w:before="100"/>
              <w:jc w:val="left"/>
            </w:pPr>
            <w:r>
              <w:rPr>
                <w:b w:val="0"/>
                <w:color w:val="000000"/>
                <w:sz w:val="20"/>
              </w:rPr>
              <w:t>46°</w:t>
            </w:r>
          </w:p>
        </w:tc>
        <w:tc>
          <w:tcPr>
            <w:tcW w:type="dxa" w:w="4176"/>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0.021734716</w:t>
            </w:r>
          </w:p>
        </w:tc>
        <w:tc>
          <w:tcPr>
            <w:tcW w:type="dxa" w:w="4176"/>
            <w:vAlign w:val="center"/>
            <w:tcBorders>
              <w:top w:val="single" w:sz="4" w:color="D9D9D9"/>
              <w:left w:val="single" w:sz="4" w:color="D9D9D9"/>
              <w:bottom w:val="single" w:sz="4" w:color="D9D9D9"/>
              <w:right w:val="single" w:sz="4" w:color="D9D9D9"/>
            </w:tcBorders>
            <w:shd w:fill="EEF3F7"/>
          </w:tcPr>
          <w:p>
            <w:pPr>
              <w:spacing w:after="100" w:before="100"/>
            </w:pPr>
            <w:r>
              <w:rPr>
                <w:b w:val="0"/>
                <w:color w:val="000000"/>
                <w:sz w:val="20"/>
              </w:rPr>
              <w:t>0.063861079</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100" w:before="100"/>
              <w:jc w:val="left"/>
            </w:pPr>
            <w:r>
              <w:rPr>
                <w:b w:val="0"/>
                <w:color w:val="000000"/>
                <w:sz w:val="20"/>
              </w:rPr>
              <w:t>78°</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0.130887064</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0.261307848</w:t>
            </w:r>
          </w:p>
        </w:tc>
      </w:tr>
    </w:tbl>
    <w:p>
      <w:r>
        <w:t>Maximaler absoluter Kantenfehler des jeweils besten RMS-Fits aus sechs Starts.</w:t>
      </w:r>
    </w:p>
    <w:p>
      <w:r>
        <w:t>Der Befund betrifft die vollständig verklebte, längentreue Dreieckshaut mit starren Rahmen. Die zuvor virtuellen M-Ringgrenzen werden durch die Haut zu Abstandszwängen. Andere Materialmodelle, zusätzliche Falten, gleitende Nähte oder getrennte Äste können andere Bewegungen erlauben. Die numerische Rangprüfung und der endliche Mehrstartversuch sind kein globaler Unmöglichkeitsbeweis.</w:t>
      </w:r>
    </w:p>
    <w:p>
      <w:pPr>
        <w:pStyle w:val="Heading1"/>
      </w:pPr>
      <w:r>
        <w:t>Umgesetzter Prüfstand</w:t>
      </w:r>
    </w:p>
    <w:p>
      <w:r>
        <w:t>Das bestehende HTML wurde auf Modell 11 erweitert: Name Pentagon-Gelenklaterne, gemeinsames Cockpit, 7°/33°/45°/78°-Wahl, Referenz-Curtain-Overlay, separate Schiebeiris mit Restfläche und Pin-Abstand. Faltung, Iris und Ansicht können über dieselbe Zeitachse laufen. Die Kopplung ist eine Bedienregel; die Rahmenparameter werden nicht automatisch verändert.</w:t>
      </w:r>
    </w:p>
    <w:p>
      <w:r>
        <w:t>Python- und JavaScript-Iris stimmen in 101 Zuständen bis auf 1,4·10⁻¹⁶ Flächeneinheiten überein. Starre Schieberabstände, Höhenlagen, Export, Pause/Fortsetzen, Zeitregler und Overlay-Erhalt der Quellgeometrie sind geprüft. Die bestehenden Geometrieprüfungen mit 1.390 zulässigen Stellungen bestanden erneut. Eine vollständige Browserabnahme bleibt offen.</w:t>
      </w:r>
    </w:p>
    <w:p>
      <w:r>
        <w:br w:type="page"/>
      </w:r>
    </w:p>
    <w:p>
      <w:pPr>
        <w:pStyle w:val="Heading1"/>
      </w:pPr>
      <w:r>
        <w:t>Übergabe an Codex</w:t>
      </w:r>
    </w:p>
    <w:p>
      <w:r>
        <w:t>Zuerst Paket und Manifest prüfen und den HTML-Prüfstand lokal öffnen. Danach die Node-Prüfungen sowie die Python-Auswertung ausführen. Die festgehaltenen Fehlbefunde müssen erhalten bleiben.</w:t>
      </w:r>
    </w:p>
    <w:p>
      <w:r>
        <w:t>Anschließend vorhandene A0-Module, Mathfield, Bench, Club Opium und historische Bauteile abgleichen. Insbesondere lila Platte, Algo-Platte, Pink Strip, mögliche Deckel und Scharniere an konkrete Quellobjekte binden. Die neue Schiebeiris ist bis zu einem solchen Abgleich eine eigenständige Konstruktion.</w:t>
      </w:r>
    </w:p>
    <w:p>
      <w:r>
        <w:t>Für einen tatsächlich beweglichen Mantel ist als Nächstes die Material- und Nahtwahl zu treffen: dehnbare Membran, gleitende überlappende Streifen oder ein neuer Faltplan. Erst dann erneut gemeinsame Bewegung, durchgehende Kollisionsfreiheit, Gehäuse und Antrieb lösen. Der bisherige vollständig verklebte starre Mantel darf nicht als gelöster Klappmechanismus übernommen werden.</w:t>
      </w:r>
    </w:p>
    <w:p>
      <w:r>
        <w:t>Die früheren arithmetischen Ergebnisse zu Teilerkoordinaten, Ziffernrekonstruktion, 13/17-Return und 11-Winds-Doppelpyramide bleiben eigene Prüfgegenstände. Der neue Deckel beweist keine neue Mathematik oder Physik und ersetzt diese Nachweise nicht.</w:t>
      </w:r>
    </w:p>
    <w:p>
      <w:pPr>
        <w:pStyle w:val="Heading1"/>
      </w:pPr>
      <w:r>
        <w:t>Dateien und Reproduktion</w:t>
      </w:r>
    </w:p>
    <w:p>
      <w:r>
        <w:t>Das Paket enthält die HTML Modell 11, diesen Bericht als Word und Text, den bisherigen Mathe-Stand, strukturierte Ergebnisse, eine Referenzgeometrie, Testskripte, Übergabeprompt und Hashmanifest.</w:t>
      </w:r>
    </w:p>
    <w:p>
      <w:r>
        <w:t>Node: node tests/run_tests.cjs</w:t>
      </w:r>
    </w:p>
    <w:p>
      <w:r>
        <w:t>Python: python tests/lantern_tests.py data/lantern-fixture.json outputs/recomputed-results.json</w:t>
      </w:r>
    </w:p>
    <w:p>
      <w:r>
        <w:t>Die Python-Auswertung benötigt numpy und scipy. Das HTML ist eigenständig und benötigt keine externen Bibliotheken.</w:t>
      </w:r>
    </w:p>
    <w:p>
      <w:pPr>
        <w:pStyle w:val="Heading1"/>
      </w:pPr>
      <w:r>
        <w:t>Offene Entscheidungen</w:t>
      </w:r>
    </w:p>
    <w:p>
      <w:r>
        <w:t>Bewegliche Haut: Membran, gleitende Streifen oder neuer Faltplan. Deckel: Befestigung, Gehäuse, Führung, Antrieb und gewünschte Dichtheit. A0: historische Bauteilbindung. Abnahme: vollständiger Browserlauf und kontinuierliche Kollisionsprüfung.</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