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0"/>
        <w:gridCol w:w="3400"/>
      </w:tblGrid>
      <w:tr>
        <w:tc>
          <w:tcPr>
            <w:tcW w:type="dxa" w:w="5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spacing w:before="0" w:after="4"/>
            </w:pPr>
            <w:r>
              <w:rPr>
                <w:rFonts w:ascii="Calibri" w:cs="Calibri" w:eastAsia="Calibri" w:hAnsi="Calibri"/>
                <w:b/>
                <w:bCs/>
                <w:color w:val="0C2D55"/>
                <w:spacing w:val="14"/>
                <w:sz w:val="70"/>
                <w:szCs w:val="70"/>
              </w:rPr>
              <w:t xml:space="preserve">OSCAR NDUGBU</w:t>
            </w:r>
          </w:p>
          <w:p>
            <w:pPr>
              <w:spacing w:before="0" w:after="0"/>
            </w:pPr>
            <w:r>
              <w:rPr>
                <w:rFonts w:ascii="Calibri" w:cs="Calibri" w:eastAsia="Calibri" w:hAnsi="Calibri"/>
                <w:i/>
                <w:iCs/>
                <w:color w:val="4A5A6B"/>
                <w:sz w:val="19"/>
                <w:szCs w:val="19"/>
              </w:rPr>
              <w:t xml:space="preserve">Principal Backend Engineer  ·  Infrastructure &amp; SRE Architect  ·  AI Systems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bottom"/>
          </w:tcPr>
          <w:p>
            <w:pPr>
              <w:spacing w:before="0" w:after="5"/>
              <w:jc w:val="right"/>
            </w:pPr>
            <w:r>
              <w:rPr>
                <w:rFonts w:ascii="Calibri" w:cs="Calibri" w:eastAsia="Calibri" w:hAnsi="Calibri"/>
                <w:color w:val="4A5A6B"/>
                <w:sz w:val="17"/>
                <w:szCs w:val="17"/>
              </w:rPr>
              <w:t xml:space="preserve">scardubu@gmail.com  ·  scardubu.dev</w:t>
            </w:r>
          </w:p>
          <w:p>
            <w:pPr>
              <w:spacing w:before="0" w:after="5"/>
              <w:jc w:val="right"/>
            </w:pPr>
            <w:r>
              <w:rPr>
                <w:rFonts w:ascii="Calibri" w:cs="Calibri" w:eastAsia="Calibri" w:hAnsi="Calibri"/>
                <w:color w:val="4A5A6B"/>
                <w:sz w:val="17"/>
                <w:szCs w:val="17"/>
              </w:rPr>
              <w:t xml:space="preserve">github.com/Scardubu  ·  linkedin.com/in/oscardubu</w:t>
            </w:r>
          </w:p>
          <w:p>
            <w:pPr>
              <w:spacing w:before="0" w:after="0"/>
              <w:jc w:val="right"/>
            </w:pPr>
            <w:r>
              <w:rPr>
                <w:rFonts w:ascii="Calibri" w:cs="Calibri" w:eastAsia="Calibri" w:hAnsi="Calibri"/>
                <w:color w:val="4A5A6B"/>
                <w:sz w:val="17"/>
                <w:szCs w:val="17"/>
              </w:rPr>
              <w:t xml:space="preserve">+234 803 388 5065  ·  Lagos, Nigeria  ·  Open to Remote</w:t>
            </w:r>
          </w:p>
        </w:tc>
      </w:tr>
    </w:tbl>
    <w:p>
      <w:pPr>
        <w:pBdr>
          <w:bottom w:val="single" w:color="0C2D55" w:sz="12" w:space="1"/>
        </w:pBdr>
        <w:spacing w:before="84" w:after="0"/>
      </w:pPr>
    </w:p>
    <w:p>
      <w:pPr>
        <w:pBdr>
          <w:bottom w:val="single" w:color="BDD0E8" w:sz="4" w:space="1"/>
        </w:pBdr>
        <w:spacing w:before="178" w:after="54"/>
      </w:pPr>
      <w:r>
        <w:rPr>
          <w:rFonts w:ascii="Calibri" w:cs="Calibri" w:eastAsia="Calibri" w:hAnsi="Calibri"/>
          <w:b/>
          <w:bCs/>
          <w:color w:val="0C2D55"/>
          <w:spacing w:val="90"/>
          <w:sz w:val="19"/>
          <w:szCs w:val="19"/>
        </w:rPr>
        <w:t xml:space="preserve">PROFESSIONAL SUMMARY</w:t>
      </w:r>
    </w:p>
    <w:p>
      <w:pPr>
        <w:spacing w:before="66" w:after="34"/>
      </w:pP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Backend engineer and platform architect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with four years of independent product and consulting work — shipping a tax compliance platform, an AI-powered observability tool, and an encrypted blockchain data system — and over a decade building and maintaining critical data infrastructure within Nigeria's federal public sector.</w:t>
      </w:r>
    </w:p>
    <w:p>
      <w:pPr>
        <w:spacing w:before="0" w:after="56"/>
      </w:pPr>
      <w:r>
        <w:rPr>
          <w:rFonts w:ascii="Calibri" w:cs="Calibri" w:eastAsia="Calibri" w:hAnsi="Calibri"/>
          <w:color w:val="0F1923"/>
          <w:sz w:val="20"/>
          <w:szCs w:val="20"/>
        </w:rPr>
        <w:t xml:space="preserve">Core expertise spans </w:t>
      </w: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Node.js and TypeScript backend systems, distributed architecture, and cloud infrastructure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engineered to stay fast and reliable under real-world load — consistently delivering sub-150ms API response times and 99.9%+ uptime. Equally at home applying machine learning to hard engineering problems, and fluent in translating technical trade-offs into clear business terms. Author of three open-source tools in active use.</w:t>
      </w:r>
    </w:p>
    <w:p>
      <w:pPr>
        <w:pBdr>
          <w:bottom w:val="single" w:color="BDD0E8" w:sz="4" w:space="1"/>
        </w:pBdr>
        <w:spacing w:before="178" w:after="54"/>
      </w:pPr>
      <w:r>
        <w:rPr>
          <w:rFonts w:ascii="Calibri" w:cs="Calibri" w:eastAsia="Calibri" w:hAnsi="Calibri"/>
          <w:b/>
          <w:bCs/>
          <w:color w:val="0C2D55"/>
          <w:spacing w:val="90"/>
          <w:sz w:val="19"/>
          <w:szCs w:val="19"/>
        </w:rPr>
        <w:t xml:space="preserve">CORE COMPETENCIES</w:t>
      </w:r>
    </w:p>
    <w:p>
      <w:pPr>
        <w:spacing w:before="64"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7300"/>
      </w:tblGrid>
      <w:tr>
        <w:tc>
          <w:tcPr>
            <w:tcW w:type="dxa" w:w="206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EEF4FB" w:val="clear"/>
            <w:tcMar>
              <w:top w:type="dxa" w:w="60"/>
              <w:left w:type="dxa" w:w="116"/>
              <w:bottom w:type="dxa" w:w="60"/>
              <w:right w:type="dxa" w:w="98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0C2D55"/>
                <w:sz w:val="18"/>
                <w:szCs w:val="18"/>
              </w:rPr>
              <w:t xml:space="preserve">Languages</w:t>
            </w:r>
          </w:p>
        </w:tc>
        <w:tc>
          <w:tcPr>
            <w:tcW w:type="dxa" w:w="730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EEF4FB" w:val="clear"/>
            <w:tcMar>
              <w:top w:type="dxa" w:w="60"/>
              <w:left w:type="dxa" w:w="116"/>
              <w:bottom w:type="dxa" w:w="60"/>
              <w:right w:type="dxa" w:w="116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color w:val="0F1923"/>
                <w:sz w:val="18"/>
                <w:szCs w:val="18"/>
              </w:rPr>
              <w:t xml:space="preserve">TypeScript · Node.js · Python · SQL · Bash</w:t>
            </w:r>
          </w:p>
        </w:tc>
      </w:tr>
      <w:tr>
        <w:tc>
          <w:tcPr>
            <w:tcW w:type="dxa" w:w="206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FFFFFF" w:val="clear"/>
            <w:tcMar>
              <w:top w:type="dxa" w:w="60"/>
              <w:left w:type="dxa" w:w="116"/>
              <w:bottom w:type="dxa" w:w="60"/>
              <w:right w:type="dxa" w:w="98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0C2D55"/>
                <w:sz w:val="18"/>
                <w:szCs w:val="18"/>
              </w:rPr>
              <w:t xml:space="preserve">Backend &amp; APIs</w:t>
            </w:r>
          </w:p>
        </w:tc>
        <w:tc>
          <w:tcPr>
            <w:tcW w:type="dxa" w:w="730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FFFFFF" w:val="clear"/>
            <w:tcMar>
              <w:top w:type="dxa" w:w="60"/>
              <w:left w:type="dxa" w:w="116"/>
              <w:bottom w:type="dxa" w:w="60"/>
              <w:right w:type="dxa" w:w="116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color w:val="0F1923"/>
                <w:sz w:val="18"/>
                <w:szCs w:val="18"/>
              </w:rPr>
              <w:t xml:space="preserve">Fastify · Express · FastAPI · GraphQL · REST · gRPC · BullMQ · WebSocket</w:t>
            </w:r>
          </w:p>
        </w:tc>
      </w:tr>
      <w:tr>
        <w:tc>
          <w:tcPr>
            <w:tcW w:type="dxa" w:w="206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EEF4FB" w:val="clear"/>
            <w:tcMar>
              <w:top w:type="dxa" w:w="60"/>
              <w:left w:type="dxa" w:w="116"/>
              <w:bottom w:type="dxa" w:w="60"/>
              <w:right w:type="dxa" w:w="98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0C2D55"/>
                <w:sz w:val="18"/>
                <w:szCs w:val="18"/>
              </w:rPr>
              <w:t xml:space="preserve">Data &amp; Cloud</w:t>
            </w:r>
          </w:p>
        </w:tc>
        <w:tc>
          <w:tcPr>
            <w:tcW w:type="dxa" w:w="730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EEF4FB" w:val="clear"/>
            <w:tcMar>
              <w:top w:type="dxa" w:w="60"/>
              <w:left w:type="dxa" w:w="116"/>
              <w:bottom w:type="dxa" w:w="60"/>
              <w:right w:type="dxa" w:w="116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color w:val="0F1923"/>
                <w:sz w:val="18"/>
                <w:szCs w:val="18"/>
              </w:rPr>
              <w:t xml:space="preserve">PostgreSQL · Redis · Prisma ORM · Docker · Kubernetes · AWS · GCP · GitHub Actions</w:t>
            </w:r>
          </w:p>
        </w:tc>
      </w:tr>
      <w:tr>
        <w:tc>
          <w:tcPr>
            <w:tcW w:type="dxa" w:w="206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FFFFFF" w:val="clear"/>
            <w:tcMar>
              <w:top w:type="dxa" w:w="60"/>
              <w:left w:type="dxa" w:w="116"/>
              <w:bottom w:type="dxa" w:w="60"/>
              <w:right w:type="dxa" w:w="98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0C2D55"/>
                <w:sz w:val="18"/>
                <w:szCs w:val="18"/>
              </w:rPr>
              <w:t xml:space="preserve">Observability / SRE</w:t>
            </w:r>
          </w:p>
        </w:tc>
        <w:tc>
          <w:tcPr>
            <w:tcW w:type="dxa" w:w="730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FFFFFF" w:val="clear"/>
            <w:tcMar>
              <w:top w:type="dxa" w:w="60"/>
              <w:left w:type="dxa" w:w="116"/>
              <w:bottom w:type="dxa" w:w="60"/>
              <w:right w:type="dxa" w:w="116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color w:val="0F1923"/>
                <w:sz w:val="18"/>
                <w:szCs w:val="18"/>
              </w:rPr>
              <w:t xml:space="preserve">Prometheus · Grafana · OpenTelemetry · ELK Stack · Sentry · Distributed Tracing</w:t>
            </w:r>
          </w:p>
        </w:tc>
      </w:tr>
      <w:tr>
        <w:tc>
          <w:tcPr>
            <w:tcW w:type="dxa" w:w="206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EEF4FB" w:val="clear"/>
            <w:tcMar>
              <w:top w:type="dxa" w:w="60"/>
              <w:left w:type="dxa" w:w="116"/>
              <w:bottom w:type="dxa" w:w="60"/>
              <w:right w:type="dxa" w:w="98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0C2D55"/>
                <w:sz w:val="18"/>
                <w:szCs w:val="18"/>
              </w:rPr>
              <w:t xml:space="preserve">AI / ML</w:t>
            </w:r>
          </w:p>
        </w:tc>
        <w:tc>
          <w:tcPr>
            <w:tcW w:type="dxa" w:w="730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EEF4FB" w:val="clear"/>
            <w:tcMar>
              <w:top w:type="dxa" w:w="60"/>
              <w:left w:type="dxa" w:w="116"/>
              <w:bottom w:type="dxa" w:w="60"/>
              <w:right w:type="dxa" w:w="116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color w:val="0F1923"/>
                <w:sz w:val="18"/>
                <w:szCs w:val="18"/>
              </w:rPr>
              <w:t xml:space="preserve">XGBoost · LightGBM · LLM APIs (GPT-4, Claude) · FastAPI Inference · ZK-Proofs</w:t>
            </w:r>
          </w:p>
        </w:tc>
      </w:tr>
      <w:tr>
        <w:tc>
          <w:tcPr>
            <w:tcW w:type="dxa" w:w="206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FFFFFF" w:val="clear"/>
            <w:tcMar>
              <w:top w:type="dxa" w:w="60"/>
              <w:left w:type="dxa" w:w="116"/>
              <w:bottom w:type="dxa" w:w="60"/>
              <w:right w:type="dxa" w:w="98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0C2D55"/>
                <w:sz w:val="18"/>
                <w:szCs w:val="18"/>
              </w:rPr>
              <w:t xml:space="preserve">Systems Design</w:t>
            </w:r>
          </w:p>
        </w:tc>
        <w:tc>
          <w:tcPr>
            <w:tcW w:type="dxa" w:w="730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FFFFFF" w:val="clear"/>
            <w:tcMar>
              <w:top w:type="dxa" w:w="60"/>
              <w:left w:type="dxa" w:w="116"/>
              <w:bottom w:type="dxa" w:w="60"/>
              <w:right w:type="dxa" w:w="116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color w:val="0F1923"/>
                <w:sz w:val="18"/>
                <w:szCs w:val="18"/>
              </w:rPr>
              <w:t xml:space="preserve">Multi-Tenant RLS · RBAC · Event-Driven Architecture · Circuit Breaker · AES-256 · Zero-Downtime Deploys</w:t>
            </w:r>
          </w:p>
        </w:tc>
      </w:tr>
    </w:tbl>
    <w:p>
      <w:pPr>
        <w:pBdr>
          <w:bottom w:val="single" w:color="BDD0E8" w:sz="4" w:space="1"/>
        </w:pBdr>
        <w:spacing w:before="178" w:after="54"/>
      </w:pPr>
      <w:r>
        <w:rPr>
          <w:rFonts w:ascii="Calibri" w:cs="Calibri" w:eastAsia="Calibri" w:hAnsi="Calibri"/>
          <w:b/>
          <w:bCs/>
          <w:color w:val="0C2D55"/>
          <w:spacing w:val="90"/>
          <w:sz w:val="19"/>
          <w:szCs w:val="19"/>
        </w:rPr>
        <w:t xml:space="preserve">PROFESSIONAL EXPERIENCE</w:t>
      </w:r>
    </w:p>
    <w:p>
      <w:pPr>
        <w:tabs>
          <w:tab w:val="right" w:pos="9360"/>
        </w:tabs>
        <w:spacing w:before="150" w:after="8"/>
      </w:pPr>
      <w:r>
        <w:rPr>
          <w:rFonts w:ascii="Calibri" w:cs="Calibri" w:eastAsia="Calibri" w:hAnsi="Calibri"/>
          <w:b/>
          <w:bCs/>
          <w:color w:val="0C2D55"/>
          <w:sz w:val="21"/>
          <w:szCs w:val="21"/>
        </w:rPr>
        <w:t xml:space="preserve">Infrastructure Consultant — Backend &amp; Reliability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A5A6B"/>
          <w:sz w:val="18"/>
          <w:szCs w:val="18"/>
        </w:rPr>
        <w:t xml:space="preserve">Jan 2024 – Present</w:t>
      </w:r>
    </w:p>
    <w:p>
      <w:pPr>
        <w:spacing w:before="0" w:after="4"/>
      </w:pPr>
      <w:r>
        <w:rPr>
          <w:rFonts w:ascii="Calibri" w:cs="Calibri" w:eastAsia="Calibri" w:hAnsi="Calibri"/>
          <w:b/>
          <w:bCs/>
          <w:color w:val="1A5C96"/>
          <w:sz w:val="19"/>
          <w:szCs w:val="19"/>
        </w:rPr>
        <w:t xml:space="preserve">Independent Consulting</w:t>
      </w:r>
      <w:r>
        <w:rPr>
          <w:rFonts w:ascii="Calibri" w:cs="Calibri" w:eastAsia="Calibri" w:hAnsi="Calibri"/>
          <w:color w:val="4A5A6B"/>
          <w:sz w:val="19"/>
          <w:szCs w:val="19"/>
        </w:rPr>
        <w:t xml:space="preserve">  ·  </w:t>
      </w:r>
      <w:r>
        <w:rPr>
          <w:rFonts w:ascii="Calibri" w:cs="Calibri" w:eastAsia="Calibri" w:hAnsi="Calibri"/>
          <w:i/>
          <w:iCs/>
          <w:color w:val="4A5A6B"/>
          <w:sz w:val="19"/>
          <w:szCs w:val="19"/>
        </w:rPr>
        <w:t xml:space="preserve">Remote · Clients across West Africa &amp; Europe</w:t>
      </w:r>
    </w:p>
    <w:p>
      <w:pPr>
        <w:spacing w:before="0" w:after="42"/>
      </w:pPr>
      <w:r>
        <w:rPr>
          <w:rFonts w:ascii="Calibri" w:cs="Calibri" w:eastAsia="Calibri" w:hAnsi="Calibri"/>
          <w:i/>
          <w:iCs/>
          <w:color w:val="4A5A6B"/>
          <w:sz w:val="18"/>
          <w:szCs w:val="18"/>
        </w:rPr>
        <w:t xml:space="preserve">Retained by fintech and SaaS engineering teams to audit systems, resolve reliability issues, and build internal tooling — working directly alongside CTOs and senior engineers.</w:t>
      </w:r>
    </w:p>
    <w:p>
      <w:pPr>
        <w:pStyle w:val="ListParagraph"/>
        <w:numPr>
          <w:ilvl w:val="0"/>
          <w:numId w:val="2"/>
        </w:numPr>
        <w:spacing w:before="20" w:after="22"/>
      </w:pP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Built an AI-assisted incident diagnosis tool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that ingests live server logs and surfaces the most probable root causes in plain English — cutting engineer investigation time from several hours to a fraction of that, across multiple client environments.</w:t>
      </w:r>
    </w:p>
    <w:p>
      <w:pPr>
        <w:pStyle w:val="ListParagraph"/>
        <w:numPr>
          <w:ilvl w:val="0"/>
          <w:numId w:val="2"/>
        </w:numPr>
        <w:spacing w:before="20" w:after="22"/>
      </w:pP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Conducted backend performance audits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across multiple fintech platforms — identifying and resolving slow database queries, connection pool exhaustion, and API latency spikes — with documented reliability and uptime improvements delivered in every engagement.</w:t>
      </w:r>
    </w:p>
    <w:p>
      <w:pPr>
        <w:pStyle w:val="ListParagraph"/>
        <w:numPr>
          <w:ilvl w:val="0"/>
          <w:numId w:val="2"/>
        </w:numPr>
        <w:spacing w:before="20" w:after="22"/>
      </w:pP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Designed proactive monitoring pipelines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that detect system anomalies before end users are impacted, reducing on-call alert volume by roughly </w:t>
      </w: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40%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and cutting incident response pressure across client teams.</w:t>
      </w:r>
    </w:p>
    <w:p>
      <w:pPr>
        <w:tabs>
          <w:tab w:val="right" w:pos="9360"/>
        </w:tabs>
        <w:spacing w:before="150" w:after="8"/>
      </w:pPr>
      <w:r>
        <w:rPr>
          <w:rFonts w:ascii="Calibri" w:cs="Calibri" w:eastAsia="Calibri" w:hAnsi="Calibri"/>
          <w:b/>
          <w:bCs/>
          <w:color w:val="0C2D55"/>
          <w:sz w:val="21"/>
          <w:szCs w:val="21"/>
        </w:rPr>
        <w:t xml:space="preserve">Lead Backend Engineer — Encrypted Data Platform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A5A6B"/>
          <w:sz w:val="18"/>
          <w:szCs w:val="18"/>
        </w:rPr>
        <w:t xml:space="preserve">Jan – Jun 2024  (contract via consulting practice)</w:t>
      </w:r>
    </w:p>
    <w:p>
      <w:pPr>
        <w:spacing w:before="0" w:after="4"/>
      </w:pPr>
      <w:r>
        <w:rPr>
          <w:rFonts w:ascii="Calibri" w:cs="Calibri" w:eastAsia="Calibri" w:hAnsi="Calibri"/>
          <w:b/>
          <w:bCs/>
          <w:color w:val="1A5C96"/>
          <w:sz w:val="19"/>
          <w:szCs w:val="19"/>
        </w:rPr>
        <w:t xml:space="preserve">Hashablanca</w:t>
      </w:r>
      <w:r>
        <w:rPr>
          <w:rFonts w:ascii="Calibri" w:cs="Calibri" w:eastAsia="Calibri" w:hAnsi="Calibri"/>
          <w:color w:val="4A5A6B"/>
          <w:sz w:val="19"/>
          <w:szCs w:val="19"/>
        </w:rPr>
        <w:t xml:space="preserve">  ·  </w:t>
      </w:r>
      <w:r>
        <w:rPr>
          <w:rFonts w:ascii="Calibri" w:cs="Calibri" w:eastAsia="Calibri" w:hAnsi="Calibri"/>
          <w:i/>
          <w:iCs/>
          <w:color w:val="4A5A6B"/>
          <w:sz w:val="19"/>
          <w:szCs w:val="19"/>
        </w:rPr>
        <w:t xml:space="preserve">Remote · Ethereum, Polygon, BSC, StarkNet</w:t>
      </w:r>
    </w:p>
    <w:p>
      <w:pPr>
        <w:spacing w:before="0" w:after="42"/>
      </w:pPr>
      <w:r>
        <w:rPr>
          <w:rFonts w:ascii="Calibri" w:cs="Calibri" w:eastAsia="Calibri" w:hAnsi="Calibri"/>
          <w:i/>
          <w:iCs/>
          <w:color w:val="4A5A6B"/>
          <w:sz w:val="18"/>
          <w:szCs w:val="18"/>
        </w:rPr>
        <w:t xml:space="preserve">Privacy-tech startup building infrastructure for the secure, verifiable transfer of sensitive data across multiple blockchain networks.</w:t>
      </w:r>
    </w:p>
    <w:p>
      <w:pPr>
        <w:pStyle w:val="ListParagraph"/>
        <w:numPr>
          <w:ilvl w:val="0"/>
          <w:numId w:val="2"/>
        </w:numPr>
        <w:spacing w:before="20" w:after="22"/>
      </w:pP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Designed and built the core transfer backend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handling multi-gigabyte AES-256-encrypted payloads across four blockchain networks simultaneously — with automatic retry on failure and a complete transaction audit record — achieving a zero data-loss record throughout.</w:t>
      </w:r>
    </w:p>
    <w:p>
      <w:pPr>
        <w:pStyle w:val="ListParagraph"/>
        <w:numPr>
          <w:ilvl w:val="0"/>
          <w:numId w:val="2"/>
        </w:numPr>
        <w:spacing w:before="20" w:after="22"/>
      </w:pP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Integrated Zero-Knowledge proof pipelines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(a cryptographic method that validates data without exposing it) to enable privacy-preserving regulatory reporting, with GDPR compliance and </w:t>
      </w: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90% automated test coverage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across all integration points.</w:t>
      </w:r>
    </w:p>
    <w:p>
      <w:pPr>
        <w:tabs>
          <w:tab w:val="right" w:pos="9360"/>
        </w:tabs>
        <w:spacing w:before="150" w:after="8"/>
      </w:pPr>
      <w:r>
        <w:rPr>
          <w:rFonts w:ascii="Calibri" w:cs="Calibri" w:eastAsia="Calibri" w:hAnsi="Calibri"/>
          <w:b/>
          <w:bCs/>
          <w:color w:val="0C2D55"/>
          <w:sz w:val="21"/>
          <w:szCs w:val="21"/>
        </w:rPr>
        <w:t xml:space="preserve">Senior Data &amp; Systems Engineer — Planning, Research &amp; Statistics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A5A6B"/>
          <w:sz w:val="18"/>
          <w:szCs w:val="18"/>
        </w:rPr>
        <w:t xml:space="preserve">2014 – Present</w:t>
      </w:r>
    </w:p>
    <w:p>
      <w:pPr>
        <w:spacing w:before="0" w:after="4"/>
      </w:pPr>
      <w:r>
        <w:rPr>
          <w:rFonts w:ascii="Calibri" w:cs="Calibri" w:eastAsia="Calibri" w:hAnsi="Calibri"/>
          <w:b/>
          <w:bCs/>
          <w:color w:val="1A5C96"/>
          <w:sz w:val="19"/>
          <w:szCs w:val="19"/>
        </w:rPr>
        <w:t xml:space="preserve">Universal Basic Education Commission (UBEC)</w:t>
      </w:r>
      <w:r>
        <w:rPr>
          <w:rFonts w:ascii="Calibri" w:cs="Calibri" w:eastAsia="Calibri" w:hAnsi="Calibri"/>
          <w:color w:val="4A5A6B"/>
          <w:sz w:val="19"/>
          <w:szCs w:val="19"/>
        </w:rPr>
        <w:t xml:space="preserve">  ·  </w:t>
      </w:r>
      <w:r>
        <w:rPr>
          <w:rFonts w:ascii="Calibri" w:cs="Calibri" w:eastAsia="Calibri" w:hAnsi="Calibri"/>
          <w:i/>
          <w:iCs/>
          <w:color w:val="4A5A6B"/>
          <w:sz w:val="19"/>
          <w:szCs w:val="19"/>
        </w:rPr>
        <w:t xml:space="preserve">Abuja HQ · Lagos-based · Federal Government</w:t>
      </w:r>
    </w:p>
    <w:p>
      <w:pPr>
        <w:spacing w:before="0" w:after="42"/>
      </w:pPr>
      <w:r>
        <w:rPr>
          <w:rFonts w:ascii="Calibri" w:cs="Calibri" w:eastAsia="Calibri" w:hAnsi="Calibri"/>
          <w:i/>
          <w:iCs/>
          <w:color w:val="4A5A6B"/>
          <w:sz w:val="18"/>
          <w:szCs w:val="18"/>
        </w:rPr>
        <w:t xml:space="preserve">UBEC is Nigeria's federal agency for basic education funding. The Planning, Research &amp; Statistics department produces the national data and analysis used to allocate education budgets across all 36 states.</w:t>
      </w:r>
    </w:p>
    <w:p>
      <w:pPr>
        <w:pStyle w:val="ListParagraph"/>
        <w:numPr>
          <w:ilvl w:val="0"/>
          <w:numId w:val="2"/>
        </w:numPr>
        <w:spacing w:before="20" w:after="22"/>
      </w:pP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Designed and built automated ETL pipelines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that collect, validate, and consolidate education statistics from all 36 state offices into a single audit-ready database — replacing weeks of manual spreadsheet work each reporting cycle.</w:t>
      </w:r>
    </w:p>
    <w:p>
      <w:pPr>
        <w:pStyle w:val="ListParagraph"/>
        <w:numPr>
          <w:ilvl w:val="0"/>
          <w:numId w:val="2"/>
        </w:numPr>
        <w:spacing w:before="20" w:after="22"/>
      </w:pP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Developed interactive dashboards and policy reports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in Python and Power BI, giving senior planners a real-time view of national education metrics and directly supporting budget allocation decisions at the federal level.</w:t>
      </w:r>
    </w:p>
    <w:p>
      <w:pPr>
        <w:pStyle w:val="ListParagraph"/>
        <w:numPr>
          <w:ilvl w:val="0"/>
          <w:numId w:val="2"/>
        </w:numPr>
        <w:spacing w:before="20" w:after="22"/>
      </w:pP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Reduced data preparation time by over 40%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through workflow automation, while maintaining a </w:t>
      </w: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clean record across every federal compliance audit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since the systems went live.</w:t>
      </w:r>
    </w:p>
    <w:p>
      <w:pPr>
        <w:pBdr>
          <w:bottom w:val="single" w:color="BDD0E8" w:sz="4" w:space="1"/>
        </w:pBdr>
        <w:spacing w:before="178" w:after="54"/>
      </w:pPr>
      <w:r>
        <w:rPr>
          <w:rFonts w:ascii="Calibri" w:cs="Calibri" w:eastAsia="Calibri" w:hAnsi="Calibri"/>
          <w:b/>
          <w:bCs/>
          <w:color w:val="0C2D55"/>
          <w:spacing w:val="90"/>
          <w:sz w:val="19"/>
          <w:szCs w:val="19"/>
        </w:rPr>
        <w:t xml:space="preserve">PRODUCTS BUILT</w:t>
      </w:r>
    </w:p>
    <w:p>
      <w:pPr>
        <w:spacing w:before="150" w:after="6"/>
      </w:pPr>
      <w:r>
        <w:rPr>
          <w:rFonts w:ascii="Calibri" w:cs="Calibri" w:eastAsia="Calibri" w:hAnsi="Calibri"/>
          <w:b/>
          <w:bCs/>
          <w:color w:val="0C2D55"/>
          <w:sz w:val="21"/>
          <w:szCs w:val="21"/>
        </w:rPr>
        <w:t xml:space="preserve">TaxBridge</w:t>
      </w:r>
      <w:r>
        <w:rPr>
          <w:rFonts w:ascii="Calibri" w:cs="Calibri" w:eastAsia="Calibri" w:hAnsi="Calibri"/>
          <w:color w:val="4A5A6B"/>
          <w:sz w:val="20"/>
          <w:szCs w:val="20"/>
        </w:rPr>
        <w:t xml:space="preserve">  —  </w:t>
      </w:r>
      <w:r>
        <w:rPr>
          <w:rFonts w:ascii="Calibri" w:cs="Calibri" w:eastAsia="Calibri" w:hAnsi="Calibri"/>
          <w:color w:val="4A5A6B"/>
          <w:sz w:val="19"/>
          <w:szCs w:val="19"/>
        </w:rPr>
        <w:t xml:space="preserve">SME Tax Compliance &amp; Filing Platform</w:t>
      </w:r>
    </w:p>
    <w:p>
      <w:pPr>
        <w:spacing w:before="0" w:after="38"/>
      </w:pPr>
      <w:r>
        <w:rPr>
          <w:rFonts w:ascii="Calibri" w:cs="Calibri" w:eastAsia="Calibri" w:hAnsi="Calibri"/>
          <w:i/>
          <w:iCs/>
          <w:color w:val="4A5A6B"/>
          <w:sz w:val="17"/>
          <w:szCs w:val="17"/>
        </w:rPr>
        <w:t xml:space="preserve">Fastify 5 · PostgreSQL 15 RLS · Redis 7 · BullMQ · GraphQL · Docker · GitHub Actions</w:t>
      </w:r>
    </w:p>
    <w:p>
      <w:pPr>
        <w:pStyle w:val="ListParagraph"/>
        <w:numPr>
          <w:ilvl w:val="0"/>
          <w:numId w:val="2"/>
        </w:numPr>
        <w:spacing w:before="20" w:after="22"/>
      </w:pPr>
      <w:r>
        <w:rPr>
          <w:rFonts w:ascii="Calibri" w:cs="Calibri" w:eastAsia="Calibri" w:hAnsi="Calibri"/>
          <w:color w:val="0F1923"/>
          <w:sz w:val="20"/>
          <w:szCs w:val="20"/>
        </w:rPr>
        <w:t xml:space="preserve">Automates the full tax filing workflow for Nigerian small businesses with FIRS (Nigeria's Federal Inland Revenue Service) — cutting filing time </w:t>
      </w: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from ~4 hours to ~15 minutes.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Each client's data is isolated at the database level and physically inaccessible to any other client, even in the presence of an application bug.</w:t>
      </w:r>
    </w:p>
    <w:p>
      <w:pPr>
        <w:pStyle w:val="ListParagraph"/>
        <w:numPr>
          <w:ilvl w:val="0"/>
          <w:numId w:val="2"/>
        </w:numPr>
        <w:spacing w:before="20" w:after="22"/>
      </w:pPr>
      <w:r>
        <w:rPr>
          <w:rFonts w:ascii="Calibri" w:cs="Calibri" w:eastAsia="Calibri" w:hAnsi="Calibri"/>
          <w:color w:val="0F1923"/>
          <w:sz w:val="20"/>
          <w:szCs w:val="20"/>
        </w:rPr>
        <w:t xml:space="preserve">Real-time tax calculations render in </w:t>
      </w: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under 150ms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under load; an idempotent job-queue ensures no submission is ever processed twice — even through a mid-request server failure — and every transaction is backed by an immutable, hash-chained audit trail.</w:t>
      </w:r>
    </w:p>
    <w:p>
      <w:pPr>
        <w:pStyle w:val="ListParagraph"/>
        <w:numPr>
          <w:ilvl w:val="0"/>
          <w:numId w:val="2"/>
        </w:numPr>
        <w:spacing w:before="20" w:after="22"/>
      </w:pPr>
      <w:r>
        <w:rPr>
          <w:rFonts w:ascii="Calibri" w:cs="Calibri" w:eastAsia="Calibri" w:hAnsi="Calibri"/>
          <w:color w:val="0F1923"/>
          <w:sz w:val="20"/>
          <w:szCs w:val="20"/>
        </w:rPr>
        <w:t xml:space="preserve">Deployed with AES-256 encryption at rest, automated zero-downtime releases, and a CI/CD pipeline with </w:t>
      </w: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95% test coverage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— built to withstand FIRS audit scrutiny.</w:t>
      </w:r>
    </w:p>
    <w:p>
      <w:pPr>
        <w:spacing w:before="150" w:after="6"/>
      </w:pPr>
      <w:r>
        <w:rPr>
          <w:rFonts w:ascii="Calibri" w:cs="Calibri" w:eastAsia="Calibri" w:hAnsi="Calibri"/>
          <w:b/>
          <w:bCs/>
          <w:color w:val="0C2D55"/>
          <w:sz w:val="21"/>
          <w:szCs w:val="21"/>
        </w:rPr>
        <w:t xml:space="preserve">SabiScore</w:t>
      </w:r>
      <w:r>
        <w:rPr>
          <w:rFonts w:ascii="Calibri" w:cs="Calibri" w:eastAsia="Calibri" w:hAnsi="Calibri"/>
          <w:color w:val="4A5A6B"/>
          <w:sz w:val="20"/>
          <w:szCs w:val="20"/>
        </w:rPr>
        <w:t xml:space="preserve">  —  </w:t>
      </w:r>
      <w:r>
        <w:rPr>
          <w:rFonts w:ascii="Calibri" w:cs="Calibri" w:eastAsia="Calibri" w:hAnsi="Calibri"/>
          <w:color w:val="4A5A6B"/>
          <w:sz w:val="19"/>
          <w:szCs w:val="19"/>
        </w:rPr>
        <w:t xml:space="preserve">ML Prediction &amp; Observability Platform</w:t>
      </w:r>
    </w:p>
    <w:p>
      <w:pPr>
        <w:spacing w:before="0" w:after="38"/>
      </w:pPr>
      <w:r>
        <w:rPr>
          <w:rFonts w:ascii="Calibri" w:cs="Calibri" w:eastAsia="Calibri" w:hAnsi="Calibri"/>
          <w:i/>
          <w:iCs/>
          <w:color w:val="4A5A6B"/>
          <w:sz w:val="17"/>
          <w:szCs w:val="17"/>
        </w:rPr>
        <w:t xml:space="preserve">FastAPI · XGBoost / LightGBM / CatBoost · Redis Pub/Sub · Prometheus · Grafana</w:t>
      </w:r>
    </w:p>
    <w:p>
      <w:pPr>
        <w:pStyle w:val="ListParagraph"/>
        <w:numPr>
          <w:ilvl w:val="0"/>
          <w:numId w:val="2"/>
        </w:numPr>
        <w:spacing w:before="20" w:after="22"/>
      </w:pPr>
      <w:r>
        <w:rPr>
          <w:rFonts w:ascii="Calibri" w:cs="Calibri" w:eastAsia="Calibri" w:hAnsi="Calibri"/>
          <w:color w:val="0F1923"/>
          <w:sz w:val="20"/>
          <w:szCs w:val="20"/>
        </w:rPr>
        <w:t xml:space="preserve">A machine learning platform that generates predictions and continuously monitors its own output quality — alerting engineers the moment a model begins degrading, before any user is affected. Sustains </w:t>
      </w: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99.9%+ uptime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in production.</w:t>
      </w:r>
    </w:p>
    <w:p>
      <w:pPr>
        <w:pStyle w:val="ListParagraph"/>
        <w:numPr>
          <w:ilvl w:val="0"/>
          <w:numId w:val="2"/>
        </w:numPr>
        <w:spacing w:before="20" w:after="22"/>
      </w:pPr>
      <w:r>
        <w:rPr>
          <w:rFonts w:ascii="Calibri" w:cs="Calibri" w:eastAsia="Calibri" w:hAnsi="Calibri"/>
          <w:color w:val="0F1923"/>
          <w:sz w:val="20"/>
          <w:szCs w:val="20"/>
        </w:rPr>
        <w:t xml:space="preserve">Optimised ensemble AI inference response time by </w:t>
      </w: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~30%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through query and caching improvements; event pipeline handles sustained high throughput with built-in fault tolerance and automatic dead-letter recovery.</w:t>
      </w:r>
    </w:p>
    <w:p>
      <w:pPr>
        <w:pStyle w:val="ListParagraph"/>
        <w:numPr>
          <w:ilvl w:val="0"/>
          <w:numId w:val="2"/>
        </w:numPr>
        <w:spacing w:before="20" w:after="22"/>
      </w:pPr>
      <w:r>
        <w:rPr>
          <w:rFonts w:ascii="Calibri" w:cs="Calibri" w:eastAsia="Calibri" w:hAnsi="Calibri"/>
          <w:color w:val="0F1923"/>
          <w:sz w:val="20"/>
          <w:szCs w:val="20"/>
        </w:rPr>
        <w:t xml:space="preserve">Prometheus and Grafana monitoring stack provides full visibility into model accuracy, latency, and system health — reducing mean time to diagnosis by roughly </w:t>
      </w: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45%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compared to reactive alerting.</w:t>
      </w:r>
    </w:p>
    <w:p>
      <w:pPr>
        <w:pBdr>
          <w:bottom w:val="single" w:color="BDD0E8" w:sz="4" w:space="1"/>
        </w:pBdr>
        <w:spacing w:before="178" w:after="54"/>
      </w:pPr>
      <w:r>
        <w:rPr>
          <w:rFonts w:ascii="Calibri" w:cs="Calibri" w:eastAsia="Calibri" w:hAnsi="Calibri"/>
          <w:b/>
          <w:bCs/>
          <w:color w:val="0C2D55"/>
          <w:spacing w:val="90"/>
          <w:sz w:val="19"/>
          <w:szCs w:val="19"/>
        </w:rPr>
        <w:t xml:space="preserve">OPEN SOURCE CONTRIBUTIONS</w:t>
      </w:r>
    </w:p>
    <w:p>
      <w:pPr>
        <w:spacing w:before="64"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740"/>
        <w:gridCol w:w="6060"/>
      </w:tblGrid>
      <w:tr>
        <w:tc>
          <w:tcPr>
            <w:tcW w:type="dxa" w:w="156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EEF4FB" w:val="clear"/>
            <w:tcMar>
              <w:top w:type="dxa" w:w="60"/>
              <w:left w:type="dxa" w:w="116"/>
              <w:bottom w:type="dxa" w:w="60"/>
              <w:right w:type="dxa" w:w="78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0C2D55"/>
                <w:sz w:val="18"/>
                <w:szCs w:val="18"/>
              </w:rPr>
              <w:t xml:space="preserve">pg-tenant</w:t>
            </w:r>
          </w:p>
        </w:tc>
        <w:tc>
          <w:tcPr>
            <w:tcW w:type="dxa" w:w="174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EEF4FB" w:val="clear"/>
            <w:tcMar>
              <w:top w:type="dxa" w:w="60"/>
              <w:left w:type="dxa" w:w="94"/>
              <w:bottom w:type="dxa" w:w="60"/>
              <w:right w:type="dxa" w:w="78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i/>
                <w:iCs/>
                <w:color w:val="4A5A6B"/>
                <w:sz w:val="17"/>
                <w:szCs w:val="17"/>
              </w:rPr>
              <w:t xml:space="preserve">Node.js · PostgreSQL</w:t>
            </w:r>
          </w:p>
        </w:tc>
        <w:tc>
          <w:tcPr>
            <w:tcW w:type="dxa" w:w="606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EEF4FB" w:val="clear"/>
            <w:tcMar>
              <w:top w:type="dxa" w:w="60"/>
              <w:left w:type="dxa" w:w="94"/>
              <w:bottom w:type="dxa" w:w="60"/>
              <w:right w:type="dxa" w:w="116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color w:val="0F1923"/>
                <w:sz w:val="17"/>
                <w:szCs w:val="17"/>
              </w:rPr>
              <w:t xml:space="preserve">Enforces strict database-level data separation between clients — one tenant's records are completely invisible to another, even when application-layer bugs exist. Used in production by fintech teams.</w:t>
            </w:r>
          </w:p>
        </w:tc>
      </w:tr>
      <w:tr>
        <w:tc>
          <w:tcPr>
            <w:tcW w:type="dxa" w:w="156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FFFFFF" w:val="clear"/>
            <w:tcMar>
              <w:top w:type="dxa" w:w="60"/>
              <w:left w:type="dxa" w:w="116"/>
              <w:bottom w:type="dxa" w:w="60"/>
              <w:right w:type="dxa" w:w="78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0C2D55"/>
                <w:sz w:val="18"/>
                <w:szCs w:val="18"/>
              </w:rPr>
              <w:t xml:space="preserve">audit-chain</w:t>
            </w:r>
          </w:p>
        </w:tc>
        <w:tc>
          <w:tcPr>
            <w:tcW w:type="dxa" w:w="174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FFFFFF" w:val="clear"/>
            <w:tcMar>
              <w:top w:type="dxa" w:w="60"/>
              <w:left w:type="dxa" w:w="94"/>
              <w:bottom w:type="dxa" w:w="60"/>
              <w:right w:type="dxa" w:w="78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i/>
                <w:iCs/>
                <w:color w:val="4A5A6B"/>
                <w:sz w:val="17"/>
                <w:szCs w:val="17"/>
              </w:rPr>
              <w:t xml:space="preserve">Fintech · Compliance</w:t>
            </w:r>
          </w:p>
        </w:tc>
        <w:tc>
          <w:tcPr>
            <w:tcW w:type="dxa" w:w="606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FFFFFF" w:val="clear"/>
            <w:tcMar>
              <w:top w:type="dxa" w:w="60"/>
              <w:left w:type="dxa" w:w="94"/>
              <w:bottom w:type="dxa" w:w="60"/>
              <w:right w:type="dxa" w:w="116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color w:val="0F1923"/>
                <w:sz w:val="17"/>
                <w:szCs w:val="17"/>
              </w:rPr>
              <w:t xml:space="preserve">Generates a cryptographically linked audit log where every entry is mathematically bound to the previous one, making retroactive edits or tampering instantly detectable. Built for FIRS and GDPR audit trails.</w:t>
            </w:r>
          </w:p>
        </w:tc>
      </w:tr>
      <w:tr>
        <w:tc>
          <w:tcPr>
            <w:tcW w:type="dxa" w:w="156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EEF4FB" w:val="clear"/>
            <w:tcMar>
              <w:top w:type="dxa" w:w="60"/>
              <w:left w:type="dxa" w:w="116"/>
              <w:bottom w:type="dxa" w:w="60"/>
              <w:right w:type="dxa" w:w="78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0C2D55"/>
                <w:sz w:val="18"/>
                <w:szCs w:val="18"/>
              </w:rPr>
              <w:t xml:space="preserve">node-debug-llm</w:t>
            </w:r>
          </w:p>
        </w:tc>
        <w:tc>
          <w:tcPr>
            <w:tcW w:type="dxa" w:w="174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EEF4FB" w:val="clear"/>
            <w:tcMar>
              <w:top w:type="dxa" w:w="60"/>
              <w:left w:type="dxa" w:w="94"/>
              <w:bottom w:type="dxa" w:w="60"/>
              <w:right w:type="dxa" w:w="78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i/>
                <w:iCs/>
                <w:color w:val="4A5A6B"/>
                <w:sz w:val="17"/>
                <w:szCs w:val="17"/>
              </w:rPr>
              <w:t xml:space="preserve">AI · DevOps</w:t>
            </w:r>
          </w:p>
        </w:tc>
        <w:tc>
          <w:tcPr>
            <w:tcW w:type="dxa" w:w="606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EEF4FB" w:val="clear"/>
            <w:tcMar>
              <w:top w:type="dxa" w:w="60"/>
              <w:left w:type="dxa" w:w="94"/>
              <w:bottom w:type="dxa" w:w="60"/>
              <w:right w:type="dxa" w:w="116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color w:val="0F1923"/>
                <w:sz w:val="17"/>
                <w:szCs w:val="17"/>
              </w:rPr>
              <w:t xml:space="preserve">Streams live system logs and traces to an AI model, which returns a ranked plain-English list of likely root causes — compressing hours of manual incident investigation into minutes. Actively maintained.</w:t>
            </w:r>
          </w:p>
        </w:tc>
      </w:tr>
    </w:tbl>
    <w:p>
      <w:pPr>
        <w:spacing w:before="54" w:after="46"/>
      </w:pPr>
      <w:r>
        <w:rPr>
          <w:rFonts w:ascii="Calibri" w:cs="Calibri" w:eastAsia="Calibri" w:hAnsi="Calibri"/>
          <w:i/>
          <w:iCs/>
          <w:color w:val="4A5A6B"/>
          <w:sz w:val="18"/>
          <w:szCs w:val="18"/>
        </w:rPr>
        <w:t xml:space="preserve">15+ merged contributions to XGBoost &amp; scikit-learn  ·  12 public repositories  ·  each library has attracted external contributors</w:t>
      </w:r>
    </w:p>
    <w:p>
      <w:pPr>
        <w:pBdr>
          <w:bottom w:val="single" w:color="BDD0E8" w:sz="4" w:space="1"/>
        </w:pBdr>
        <w:spacing w:before="178" w:after="54"/>
      </w:pPr>
      <w:r>
        <w:rPr>
          <w:rFonts w:ascii="Calibri" w:cs="Calibri" w:eastAsia="Calibri" w:hAnsi="Calibri"/>
          <w:b/>
          <w:bCs/>
          <w:color w:val="0C2D55"/>
          <w:spacing w:val="90"/>
          <w:sz w:val="19"/>
          <w:szCs w:val="19"/>
        </w:rPr>
        <w:t xml:space="preserve">LEADERSHIP &amp; COMMUNITY</w:t>
      </w:r>
    </w:p>
    <w:p>
      <w:pPr>
        <w:pStyle w:val="ListParagraph"/>
        <w:numPr>
          <w:ilvl w:val="0"/>
          <w:numId w:val="2"/>
        </w:numPr>
        <w:spacing w:before="20" w:after="22"/>
      </w:pP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Architecture advisor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to early-stage fintech founders — reviewing system design decisions, ML deployment strategies, and security posture at critical pre-launch and early-growth stages.</w:t>
      </w:r>
    </w:p>
    <w:p>
      <w:pPr>
        <w:pStyle w:val="ListParagraph"/>
        <w:numPr>
          <w:ilvl w:val="0"/>
          <w:numId w:val="2"/>
        </w:numPr>
        <w:spacing w:before="20" w:after="22"/>
      </w:pP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Speaker at Lagos JS and Python community meetups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on distributed systems design, deploying ML models in production, and building resilient backend infrastructure.</w:t>
      </w:r>
    </w:p>
    <w:p>
      <w:pPr>
        <w:pStyle w:val="ListParagraph"/>
        <w:numPr>
          <w:ilvl w:val="0"/>
          <w:numId w:val="2"/>
        </w:numPr>
        <w:spacing w:before="20" w:after="22"/>
      </w:pP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Technical author at scardubu.dev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 — publishing practical, in-depth engineering guides on backend reliability and AI tooling, read and referenced by developer teams across West Africa.</w:t>
      </w:r>
    </w:p>
    <w:p>
      <w:pPr>
        <w:pBdr>
          <w:bottom w:val="single" w:color="BDD0E8" w:sz="4" w:space="1"/>
        </w:pBdr>
        <w:spacing w:before="178" w:after="54"/>
      </w:pPr>
      <w:r>
        <w:rPr>
          <w:rFonts w:ascii="Calibri" w:cs="Calibri" w:eastAsia="Calibri" w:hAnsi="Calibri"/>
          <w:b/>
          <w:bCs/>
          <w:color w:val="0C2D55"/>
          <w:spacing w:val="90"/>
          <w:sz w:val="19"/>
          <w:szCs w:val="19"/>
        </w:rPr>
        <w:t xml:space="preserve">CERTIFICATIONS &amp; EDUCATION</w:t>
      </w:r>
    </w:p>
    <w:p>
      <w:pPr>
        <w:spacing w:before="58" w:after="4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EEF4FB" w:val="clear"/>
            <w:tcMar>
              <w:top w:type="dxa" w:w="60"/>
              <w:left w:type="dxa" w:w="116"/>
              <w:bottom w:type="dxa" w:w="60"/>
              <w:right w:type="dxa" w:w="116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0F1923"/>
                <w:sz w:val="19"/>
                <w:szCs w:val="19"/>
              </w:rPr>
              <w:t xml:space="preserve">AWS Certified Developer</w:t>
            </w:r>
            <w:r>
              <w:rPr>
                <w:rFonts w:ascii="Calibri" w:cs="Calibri" w:eastAsia="Calibri" w:hAnsi="Calibri"/>
                <w:color w:val="4A5A6B"/>
                <w:sz w:val="19"/>
                <w:szCs w:val="19"/>
              </w:rPr>
              <w:t xml:space="preserve">  ·  Dec 2023</w:t>
            </w:r>
          </w:p>
        </w:tc>
        <w:tc>
          <w:tcPr>
            <w:tcW w:type="dxa" w:w="468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EEF4FB" w:val="clear"/>
            <w:tcMar>
              <w:top w:type="dxa" w:w="60"/>
              <w:left w:type="dxa" w:w="116"/>
              <w:bottom w:type="dxa" w:w="60"/>
              <w:right w:type="dxa" w:w="116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0F1923"/>
                <w:sz w:val="19"/>
                <w:szCs w:val="19"/>
              </w:rPr>
              <w:t xml:space="preserve">GCP Associate Cloud Engineer</w:t>
            </w:r>
            <w:r>
              <w:rPr>
                <w:rFonts w:ascii="Calibri" w:cs="Calibri" w:eastAsia="Calibri" w:hAnsi="Calibri"/>
                <w:color w:val="4A5A6B"/>
                <w:sz w:val="19"/>
                <w:szCs w:val="19"/>
              </w:rPr>
              <w:t xml:space="preserve">  ·  Aug 2023</w:t>
            </w:r>
          </w:p>
        </w:tc>
      </w:tr>
      <w:tr>
        <w:tc>
          <w:tcPr>
            <w:tcW w:type="dxa" w:w="468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FFFFFF" w:val="clear"/>
            <w:tcMar>
              <w:top w:type="dxa" w:w="60"/>
              <w:left w:type="dxa" w:w="116"/>
              <w:bottom w:type="dxa" w:w="60"/>
              <w:right w:type="dxa" w:w="116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0F1923"/>
                <w:sz w:val="19"/>
                <w:szCs w:val="19"/>
              </w:rPr>
              <w:t xml:space="preserve">OpenJS Node.js Services (JSNSD)</w:t>
            </w:r>
            <w:r>
              <w:rPr>
                <w:rFonts w:ascii="Calibri" w:cs="Calibri" w:eastAsia="Calibri" w:hAnsi="Calibri"/>
                <w:color w:val="4A5A6B"/>
                <w:sz w:val="19"/>
                <w:szCs w:val="19"/>
              </w:rPr>
              <w:t xml:space="preserve">  ·  May 2024</w:t>
            </w:r>
          </w:p>
        </w:tc>
        <w:tc>
          <w:tcPr>
            <w:tcW w:type="dxa" w:w="4680"/>
            <w:tcBorders>
              <w:top w:val="single" w:color="BDD0E8" w:sz="1"/>
              <w:left w:val="single" w:color="BDD0E8" w:sz="1"/>
              <w:bottom w:val="single" w:color="BDD0E8" w:sz="1"/>
              <w:right w:val="single" w:color="BDD0E8" w:sz="1"/>
            </w:tcBorders>
            <w:shd w:fill="FFFFFF" w:val="clear"/>
            <w:tcMar>
              <w:top w:type="dxa" w:w="60"/>
              <w:left w:type="dxa" w:w="116"/>
              <w:bottom w:type="dxa" w:w="60"/>
              <w:right w:type="dxa" w:w="116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0F1923"/>
                <w:sz w:val="19"/>
                <w:szCs w:val="19"/>
              </w:rPr>
              <w:t xml:space="preserve">PostgreSQL 14 Associate</w:t>
            </w:r>
            <w:r>
              <w:rPr>
                <w:rFonts w:ascii="Calibri" w:cs="Calibri" w:eastAsia="Calibri" w:hAnsi="Calibri"/>
                <w:color w:val="4A5A6B"/>
                <w:sz w:val="19"/>
                <w:szCs w:val="19"/>
              </w:rPr>
              <w:t xml:space="preserve">  ·  Mar 2024</w:t>
            </w:r>
          </w:p>
        </w:tc>
      </w:tr>
    </w:tbl>
    <w:p>
      <w:pPr>
        <w:spacing w:before="62" w:after="16"/>
      </w:pPr>
      <w:r>
        <w:rPr>
          <w:rFonts w:ascii="Calibri" w:cs="Calibri" w:eastAsia="Calibri" w:hAnsi="Calibri"/>
          <w:b/>
          <w:bCs/>
          <w:color w:val="0F1923"/>
          <w:sz w:val="20"/>
          <w:szCs w:val="20"/>
        </w:rPr>
        <w:t xml:space="preserve">B.Tech, Environmental Technology  ·  </w:t>
      </w:r>
      <w:r>
        <w:rPr>
          <w:rFonts w:ascii="Calibri" w:cs="Calibri" w:eastAsia="Calibri" w:hAnsi="Calibri"/>
          <w:color w:val="0F1923"/>
          <w:sz w:val="20"/>
          <w:szCs w:val="20"/>
        </w:rPr>
        <w:t xml:space="preserve">Federal University of Technology, Owerri  ·  2006–2011</w:t>
      </w:r>
    </w:p>
    <w:p>
      <w:pPr>
        <w:spacing w:before="0" w:after="0"/>
      </w:pPr>
      <w:r>
        <w:rPr>
          <w:rFonts w:ascii="Calibri" w:cs="Calibri" w:eastAsia="Calibri" w:hAnsi="Calibri"/>
          <w:i/>
          <w:iCs/>
          <w:color w:val="4A5A6B"/>
          <w:sz w:val="18"/>
          <w:szCs w:val="18"/>
        </w:rPr>
        <w:t xml:space="preserve">Non-CS academic background. Technical credibility built through a decade of production-grade engineering, 4 active cloud certifications, and consistent open-source contributions.</w:t>
      </w:r>
    </w:p>
    <w:sectPr>
      <w:pgSz w:w="12240" w:h="15840" w:orient="portrait"/>
      <w:pgMar w:top="648" w:right="1008" w:bottom="64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20" w:hanging="200"/>
      </w:pPr>
      <w:rPr>
        <w:rFonts w:ascii="Calibri" w:cs="Calibri" w:eastAsia="Calibri" w:hAnsi="Calibri"/>
        <w:color w:val="1A5C9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92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2026-03-15T16:48:49.593Z</dcterms:created>
  <dcterms:modified xsi:type="dcterms:W3CDTF">2026-03-15T16:48:49.594Z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