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3400"/>
      </w:tblGrid>
      <w:tr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0" w:after="4"/>
            </w:pPr>
            <w:r>
              <w:rPr>
                <w:rFonts w:ascii="Calibri" w:cs="Calibri" w:eastAsia="Calibri" w:hAnsi="Calibri"/>
                <w:b/>
                <w:bCs/>
                <w:color w:val="0C2D55"/>
                <w:spacing w:val="14"/>
                <w:sz w:val="70"/>
                <w:szCs w:val="70"/>
              </w:rPr>
              <w:t xml:space="preserve">OSCAR NDUGBU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A5A6B"/>
                <w:sz w:val="19"/>
                <w:szCs w:val="19"/>
              </w:rPr>
              <w:t>Staff Backend and Platform Engineer  ·  AI Infrastructure  ·  Reliability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bottom"/>
          </w:tcPr>
          <w:p>
            <w:pPr>
              <w:spacing w:before="0" w:after="5"/>
              <w:jc w:val="right"/>
            </w:pPr>
            <w:r>
              <w:rPr>
                <w:rFonts w:ascii="Calibri" w:cs="Calibri" w:eastAsia="Calibri" w:hAnsi="Calibri"/>
                <w:color w:val="4A5A6B"/>
                <w:sz w:val="17"/>
                <w:szCs w:val="17"/>
              </w:rPr>
              <w:t xml:space="preserve">scardubu@gmail.com  ·  scardubu.dev</w:t>
            </w:r>
          </w:p>
          <w:p>
            <w:pPr>
              <w:spacing w:before="0" w:after="5"/>
              <w:jc w:val="right"/>
            </w:pPr>
            <w:r>
              <w:rPr>
                <w:rFonts w:ascii="Calibri" w:cs="Calibri" w:eastAsia="Calibri" w:hAnsi="Calibri"/>
                <w:color w:val="4A5A6B"/>
                <w:sz w:val="17"/>
                <w:szCs w:val="17"/>
              </w:rPr>
              <w:t xml:space="preserve">github.com/Scardubu  ·  linkedin.com/in/oscardubu</w:t>
            </w:r>
          </w:p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4A5A6B"/>
                <w:sz w:val="17"/>
                <w:szCs w:val="17"/>
              </w:rPr>
              <w:t xml:space="preserve">+234 803 388 5065  ·  Lagos, Nigeria  ·  Open to Remote</w:t>
            </w:r>
          </w:p>
        </w:tc>
      </w:tr>
    </w:tbl>
    <w:p>
      <w:pPr>
        <w:pBdr>
          <w:bottom w:val="single" w:color="0C2D55" w:sz="12" w:space="1"/>
        </w:pBdr>
        <w:spacing w:before="84" w:after="0"/>
      </w:pPr>
    </w:p>
    <w:p>
      <w:pPr>
        <w:pBdr>
          <w:bottom w:val="single" w:color="BDD0E8" w:sz="4" w:space="1"/>
        </w:pBdr>
        <w:spacing w:before="178" w:after="54"/>
      </w:pPr>
      <w:r>
        <w:rPr>
          <w:rFonts w:ascii="Calibri" w:cs="Calibri" w:eastAsia="Calibri" w:hAnsi="Calibri"/>
          <w:b/>
          <w:bCs/>
          <w:color w:val="0C2D55"/>
          <w:spacing w:val="90"/>
          <w:sz w:val="19"/>
          <w:szCs w:val="19"/>
        </w:rPr>
        <w:t xml:space="preserve">PROFESSIONAL SUMMARY</w:t>
      </w:r>
    </w:p>
    <w:p>
      <w:pPr>
        <w:spacing w:before="66" w:after="34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Staff backend and platform engineer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with independent product and consulting work across tax workflows, AI-assisted observability, and encrypted data systems — anchored by over a decade building and maintaining data infrastructure within Nigeria's federal public sector.</w:t>
      </w:r>
    </w:p>
    <w:p>
      <w:pPr>
        <w:spacing w:before="0" w:after="56"/>
      </w:pPr>
      <w:r>
        <w:rPr>
          <w:rFonts w:ascii="Calibri" w:cs="Calibri" w:eastAsia="Calibri" w:hAnsi="Calibri"/>
          <w:color w:val="0F1923"/>
          <w:sz w:val="20"/>
          <w:szCs w:val="20"/>
        </w:rPr>
        <w:t xml:space="preserve">Core expertise spans 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Node.js and TypeScript backend systems, distributed architecture, and cloud infrastructure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engineered around explicit failure modes, observable behavior, and clean operational handoffs. Applies machine learning where it improves a system decision, and translates technical trade-offs into clear business terms. Author of three public engineering tools.</w:t>
      </w:r>
    </w:p>
    <w:p>
      <w:pPr>
        <w:pBdr>
          <w:bottom w:val="single" w:color="BDD0E8" w:sz="4" w:space="1"/>
        </w:pBdr>
        <w:spacing w:before="178" w:after="54"/>
      </w:pPr>
      <w:r>
        <w:rPr>
          <w:rFonts w:ascii="Calibri" w:cs="Calibri" w:eastAsia="Calibri" w:hAnsi="Calibri"/>
          <w:b/>
          <w:bCs/>
          <w:color w:val="0C2D55"/>
          <w:spacing w:val="90"/>
          <w:sz w:val="19"/>
          <w:szCs w:val="19"/>
        </w:rPr>
        <w:t xml:space="preserve">CORE COMPETENCIES</w:t>
      </w:r>
    </w:p>
    <w:p>
      <w:pPr>
        <w:spacing w:before="64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7300"/>
      </w:tblGrid>
      <w:tr>
        <w:tc>
          <w:tcPr>
            <w:tcW w:type="dxa" w:w="2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9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Languages</w:t>
            </w:r>
          </w:p>
        </w:tc>
        <w:tc>
          <w:tcPr>
            <w:tcW w:type="dxa" w:w="73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8"/>
                <w:szCs w:val="18"/>
              </w:rPr>
              <w:t xml:space="preserve">TypeScript · Node.js · Python · SQL · Bash</w:t>
            </w:r>
          </w:p>
        </w:tc>
      </w:tr>
      <w:tr>
        <w:tc>
          <w:tcPr>
            <w:tcW w:type="dxa" w:w="2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9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Backend &amp; APIs</w:t>
            </w:r>
          </w:p>
        </w:tc>
        <w:tc>
          <w:tcPr>
            <w:tcW w:type="dxa" w:w="73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8"/>
                <w:szCs w:val="18"/>
              </w:rPr>
              <w:t xml:space="preserve">Fastify · Express · FastAPI · GraphQL · REST · gRPC · BullMQ · WebSocket</w:t>
            </w:r>
          </w:p>
        </w:tc>
      </w:tr>
      <w:tr>
        <w:tc>
          <w:tcPr>
            <w:tcW w:type="dxa" w:w="2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9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Data &amp; Cloud</w:t>
            </w:r>
          </w:p>
        </w:tc>
        <w:tc>
          <w:tcPr>
            <w:tcW w:type="dxa" w:w="73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8"/>
                <w:szCs w:val="18"/>
              </w:rPr>
              <w:t xml:space="preserve">PostgreSQL · Redis · Prisma ORM · Docker · Kubernetes · AWS · GCP · GitHub Actions</w:t>
            </w:r>
          </w:p>
        </w:tc>
      </w:tr>
      <w:tr>
        <w:tc>
          <w:tcPr>
            <w:tcW w:type="dxa" w:w="2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9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Observability / SRE</w:t>
            </w:r>
          </w:p>
        </w:tc>
        <w:tc>
          <w:tcPr>
            <w:tcW w:type="dxa" w:w="73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8"/>
                <w:szCs w:val="18"/>
              </w:rPr>
              <w:t xml:space="preserve">Prometheus · Grafana · OpenTelemetry · ELK Stack · Sentry · Distributed Tracing</w:t>
            </w:r>
          </w:p>
        </w:tc>
      </w:tr>
      <w:tr>
        <w:tc>
          <w:tcPr>
            <w:tcW w:type="dxa" w:w="2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9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AI / ML</w:t>
            </w:r>
          </w:p>
        </w:tc>
        <w:tc>
          <w:tcPr>
            <w:tcW w:type="dxa" w:w="73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8"/>
                <w:szCs w:val="18"/>
              </w:rPr>
              <w:t xml:space="preserve">XGBoost · LightGBM · LLM APIs (GPT-4, Claude) · FastAPI Inference · ZK-Proofs</w:t>
            </w:r>
          </w:p>
        </w:tc>
      </w:tr>
      <w:tr>
        <w:tc>
          <w:tcPr>
            <w:tcW w:type="dxa" w:w="2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9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Systems Design</w:t>
            </w:r>
          </w:p>
        </w:tc>
        <w:tc>
          <w:tcPr>
            <w:tcW w:type="dxa" w:w="73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8"/>
                <w:szCs w:val="18"/>
              </w:rPr>
              <w:t xml:space="preserve">Multi-Tenant RLS · RBAC · Event-Driven Architecture · Circuit Breaker · AES-256 · Zero-Downtime Deploys</w:t>
            </w:r>
          </w:p>
        </w:tc>
      </w:tr>
    </w:tbl>
    <w:p>
      <w:pPr>
        <w:pBdr>
          <w:bottom w:val="single" w:color="BDD0E8" w:sz="4" w:space="1"/>
        </w:pBdr>
        <w:spacing w:before="178" w:after="54"/>
      </w:pPr>
      <w:r>
        <w:rPr>
          <w:rFonts w:ascii="Calibri" w:cs="Calibri" w:eastAsia="Calibri" w:hAnsi="Calibri"/>
          <w:b/>
          <w:bCs/>
          <w:color w:val="0C2D55"/>
          <w:spacing w:val="90"/>
          <w:sz w:val="19"/>
          <w:szCs w:val="19"/>
        </w:rPr>
        <w:t xml:space="preserve">PROFESSIONAL EXPERIENCE</w:t>
      </w:r>
    </w:p>
    <w:p>
      <w:pPr>
        <w:tabs>
          <w:tab w:val="right" w:pos="9360"/>
        </w:tabs>
        <w:spacing w:before="150" w:after="8"/>
      </w:pPr>
      <w:r>
        <w:rPr>
          <w:rFonts w:ascii="Calibri" w:cs="Calibri" w:eastAsia="Calibri" w:hAnsi="Calibri"/>
          <w:b/>
          <w:bCs/>
          <w:color w:val="0C2D55"/>
          <w:sz w:val="21"/>
          <w:szCs w:val="21"/>
        </w:rPr>
        <w:t xml:space="preserve">Infrastructure Consultant — Backend &amp; Reliability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A5A6B"/>
          <w:sz w:val="18"/>
          <w:szCs w:val="18"/>
        </w:rPr>
        <w:t xml:space="preserve">Jan 2024 – Present</w:t>
      </w:r>
    </w:p>
    <w:p>
      <w:pPr>
        <w:spacing w:before="0" w:after="4"/>
      </w:pPr>
      <w:r>
        <w:rPr>
          <w:rFonts w:ascii="Calibri" w:cs="Calibri" w:eastAsia="Calibri" w:hAnsi="Calibri"/>
          <w:b/>
          <w:bCs/>
          <w:color w:val="1A5C96"/>
          <w:sz w:val="19"/>
          <w:szCs w:val="19"/>
        </w:rPr>
        <w:t>Independent Consulting  ·  Remote</w:t>
      </w:r>
      <w:r>
        <w:rPr>
          <w:rFonts w:ascii="Calibri" w:cs="Calibri" w:eastAsia="Calibri" w:hAnsi="Calibri"/>
          <w:color w:val="4A5A6B"/>
          <w:sz w:val="19"/>
          <w:szCs w:val="19"/>
        </w:rPr>
      </w:r>
      <w:r>
        <w:rPr>
          <w:rFonts w:ascii="Calibri" w:cs="Calibri" w:eastAsia="Calibri" w:hAnsi="Calibri"/>
          <w:i/>
          <w:iCs/>
          <w:color w:val="4A5A6B"/>
          <w:sz w:val="19"/>
          <w:szCs w:val="19"/>
        </w:rPr>
      </w:r>
    </w:p>
    <w:p>
      <w:pPr>
        <w:spacing w:before="0" w:after="42"/>
      </w:pPr>
      <w:r>
        <w:rPr>
          <w:rFonts w:ascii="Calibri" w:cs="Calibri" w:eastAsia="Calibri" w:hAnsi="Calibri"/>
          <w:i/>
          <w:iCs/>
          <w:color w:val="4A5A6B"/>
          <w:sz w:val="18"/>
          <w:szCs w:val="18"/>
        </w:rPr>
        <w:t xml:space="preserve">Retained by fintech and SaaS engineering teams to audit systems, resolve reliability issues, and build internal tooling — working directly alongside CTOs and senior engineers.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Built an AI-assisted incident diagnosis tool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that turns live server logs into ranked root-cause hypotheses and preserves the evidence path for engineer review.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Conducted backend performance audits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across fintech systems — identifying slow database queries, connection-pool exhaustion, and API latency spikes, then delivering written remediation plans tied to observable bottlenecks.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Designed proactive monitoring pipelines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that surface anomalous behavior with enough context for an engineer to investigate before a local fault becomes a wider incident.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</w:r>
    </w:p>
    <w:p>
      <w:pPr>
        <w:tabs>
          <w:tab w:val="right" w:pos="9360"/>
        </w:tabs>
        <w:spacing w:before="150" w:after="8"/>
      </w:pPr>
      <w:r>
        <w:rPr>
          <w:rFonts w:ascii="Calibri" w:cs="Calibri" w:eastAsia="Calibri" w:hAnsi="Calibri"/>
          <w:b/>
          <w:bCs/>
          <w:color w:val="0C2D55"/>
          <w:sz w:val="21"/>
          <w:szCs w:val="21"/>
        </w:rPr>
        <w:t xml:space="preserve">Lead Backend Engineer — Encrypted Data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A5A6B"/>
          <w:sz w:val="18"/>
          <w:szCs w:val="18"/>
        </w:rPr>
        <w:t xml:space="preserve">Jan – Jun 2024  (contract via consulting practice)</w:t>
      </w:r>
    </w:p>
    <w:p>
      <w:pPr>
        <w:spacing w:before="0" w:after="4"/>
      </w:pPr>
      <w:r>
        <w:rPr>
          <w:rFonts w:ascii="Calibri" w:cs="Calibri" w:eastAsia="Calibri" w:hAnsi="Calibri"/>
          <w:b/>
          <w:bCs/>
          <w:color w:val="1A5C96"/>
          <w:sz w:val="19"/>
          <w:szCs w:val="19"/>
        </w:rPr>
        <w:t xml:space="preserve">Hashablanca</w:t>
      </w:r>
      <w:r>
        <w:rPr>
          <w:rFonts w:ascii="Calibri" w:cs="Calibri" w:eastAsia="Calibri" w:hAnsi="Calibri"/>
          <w:color w:val="4A5A6B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A5A6B"/>
          <w:sz w:val="19"/>
          <w:szCs w:val="19"/>
        </w:rPr>
        <w:t xml:space="preserve">Remote · Ethereum, Polygon, BSC, StarkNet</w:t>
      </w:r>
    </w:p>
    <w:p>
      <w:pPr>
        <w:spacing w:before="0" w:after="42"/>
      </w:pPr>
      <w:r>
        <w:rPr>
          <w:rFonts w:ascii="Calibri" w:cs="Calibri" w:eastAsia="Calibri" w:hAnsi="Calibri"/>
          <w:i/>
          <w:iCs/>
          <w:color w:val="4A5A6B"/>
          <w:sz w:val="18"/>
          <w:szCs w:val="18"/>
        </w:rPr>
        <w:t xml:space="preserve">Privacy-tech startup building infrastructure for the secure, verifiable transfer of sensitive data across multiple blockchain networks.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Designed and built the core transfer backend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for AES-256-encrypted payloads across four blockchain networks, with retry semantics, checkpointed progress, and a transaction audit record designed for recovery after interruption.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Integrated Zero-Knowledge proof pipelines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to validate data without exposing it, supporting privacy-preserving reporting with tests across the integration boundaries. This architecture is not presented as regulator certification.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</w:r>
    </w:p>
    <w:p>
      <w:pPr>
        <w:tabs>
          <w:tab w:val="right" w:pos="9360"/>
        </w:tabs>
        <w:spacing w:before="150" w:after="8"/>
      </w:pPr>
      <w:r>
        <w:rPr>
          <w:rFonts w:ascii="Calibri" w:cs="Calibri" w:eastAsia="Calibri" w:hAnsi="Calibri"/>
          <w:b/>
          <w:bCs/>
          <w:color w:val="0C2D55"/>
          <w:sz w:val="21"/>
          <w:szCs w:val="21"/>
        </w:rPr>
        <w:t xml:space="preserve">Senior Data &amp; Systems Engineer — Planning, Research &amp; Statistics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A5A6B"/>
          <w:sz w:val="18"/>
          <w:szCs w:val="18"/>
        </w:rPr>
        <w:t xml:space="preserve">2014 – Present</w:t>
      </w:r>
    </w:p>
    <w:p>
      <w:pPr>
        <w:spacing w:before="0" w:after="4"/>
      </w:pPr>
      <w:r>
        <w:rPr>
          <w:rFonts w:ascii="Calibri" w:cs="Calibri" w:eastAsia="Calibri" w:hAnsi="Calibri"/>
          <w:b/>
          <w:bCs/>
          <w:color w:val="1A5C96"/>
          <w:sz w:val="19"/>
          <w:szCs w:val="19"/>
        </w:rPr>
        <w:t xml:space="preserve">Universal Basic Education Commission (UBEC)</w:t>
      </w:r>
      <w:r>
        <w:rPr>
          <w:rFonts w:ascii="Calibri" w:cs="Calibri" w:eastAsia="Calibri" w:hAnsi="Calibri"/>
          <w:color w:val="4A5A6B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A5A6B"/>
          <w:sz w:val="19"/>
          <w:szCs w:val="19"/>
        </w:rPr>
        <w:t xml:space="preserve">Abuja HQ · Lagos-based · Federal Government</w:t>
      </w:r>
    </w:p>
    <w:p>
      <w:pPr>
        <w:spacing w:before="0" w:after="42"/>
      </w:pPr>
      <w:r>
        <w:rPr>
          <w:rFonts w:ascii="Calibri" w:cs="Calibri" w:eastAsia="Calibri" w:hAnsi="Calibri"/>
          <w:i/>
          <w:iCs/>
          <w:color w:val="4A5A6B"/>
          <w:sz w:val="18"/>
          <w:szCs w:val="18"/>
        </w:rPr>
        <w:t xml:space="preserve">UBEC is Nigeria's federal agency for basic education funding. The Planning, Research &amp; Statistics department produces the national data and analysis used to allocate education budgets across all 36 states.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 xml:space="preserve">Designed and built automated ETL pipelines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that collect, validate, and consolidate education statistics from all 36 state offices into a single audit-ready database — replacing weeks of manual spreadsheet work each reporting cycle.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 xml:space="preserve">Developed interactive dashboards and policy reports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in Python and Power BI, giving senior planners a real-time view of national education metrics and directly supporting budget allocation decisions at the federal level.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Automated repeated validation and consolidation steps</w:t>
      </w:r>
      <w:r>
        <w:rPr>
          <w:rFonts w:ascii="Calibri" w:cs="Calibri" w:eastAsia="Calibri" w:hAnsi="Calibri"/>
          <w:color w:val="0F1923"/>
          <w:sz w:val="20"/>
          <w:szCs w:val="20"/>
        </w:rPr>
        <w:t>, making the preparation path more traceable while preserving human review for inconsistent state submissions.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</w:r>
    </w:p>
    <w:p>
      <w:pPr>
        <w:pBdr>
          <w:bottom w:val="single" w:color="BDD0E8" w:sz="4" w:space="1"/>
        </w:pBdr>
        <w:spacing w:before="178" w:after="54"/>
      </w:pPr>
      <w:r>
        <w:rPr>
          <w:rFonts w:ascii="Calibri" w:cs="Calibri" w:eastAsia="Calibri" w:hAnsi="Calibri"/>
          <w:b/>
          <w:bCs/>
          <w:color w:val="0C2D55"/>
          <w:spacing w:val="90"/>
          <w:sz w:val="19"/>
          <w:szCs w:val="19"/>
        </w:rPr>
        <w:t xml:space="preserve">PRODUCTS BUILT</w:t>
      </w:r>
    </w:p>
    <w:p>
      <w:pPr>
        <w:spacing w:before="150" w:after="6"/>
      </w:pPr>
      <w:r>
        <w:rPr>
          <w:rFonts w:ascii="Calibri" w:cs="Calibri" w:eastAsia="Calibri" w:hAnsi="Calibri"/>
          <w:b/>
          <w:bCs/>
          <w:color w:val="0C2D55"/>
          <w:sz w:val="21"/>
          <w:szCs w:val="21"/>
        </w:rPr>
        <w:t xml:space="preserve">TaxBridge</w:t>
      </w:r>
      <w:r>
        <w:rPr>
          <w:rFonts w:ascii="Calibri" w:cs="Calibri" w:eastAsia="Calibri" w:hAnsi="Calibri"/>
          <w:color w:val="4A5A6B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4A5A6B"/>
          <w:sz w:val="19"/>
          <w:szCs w:val="19"/>
        </w:rPr>
        <w:t xml:space="preserve">SME Tax Compliance &amp; Filing Platform</w:t>
      </w:r>
    </w:p>
    <w:p>
      <w:pPr>
        <w:spacing w:before="0" w:after="38"/>
      </w:pPr>
      <w:r>
        <w:rPr>
          <w:rFonts w:ascii="Calibri" w:cs="Calibri" w:eastAsia="Calibri" w:hAnsi="Calibri"/>
          <w:i/>
          <w:iCs/>
          <w:color w:val="4A5A6B"/>
          <w:sz w:val="17"/>
          <w:szCs w:val="17"/>
        </w:rPr>
        <w:t xml:space="preserve">Fastify 5 · PostgreSQL 15 RLS · Redis 7 · BullMQ · GraphQL · Docker · GitHub Actions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color w:val="0F1923"/>
          <w:sz w:val="20"/>
          <w:szCs w:val="20"/>
        </w:rPr>
        <w:t>Designed a replay-safe tax filing workflow for Nigerian small businesses, with Nigeria Revenue Service integration in progress.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PostgreSQL Row-Level Security enforces tenant scope at the database layer instead of relying only on application filters.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color w:val="0F1923"/>
          <w:sz w:val="20"/>
          <w:szCs w:val="20"/>
        </w:rPr>
        <w:t>Separates interactive calculation from external submission.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Stable job identities, idempotent workers, and a hash-chained audit trail make retries and reconciliation inspectable after a partial failure.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color w:val="0F1923"/>
          <w:sz w:val="20"/>
          <w:szCs w:val="20"/>
        </w:rPr>
        <w:t>Uses encrypted storage, release automation, and executable tests across calculation and submission state transitions.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Private integration evidence is available for review and is not presented as agency approval.</w:t>
      </w:r>
    </w:p>
    <w:p>
      <w:pPr>
        <w:keepNext/>
        <w:spacing w:before="240" w:after="6"/>
      </w:pPr>
      <w:r>
        <w:rPr>
          <w:rFonts w:ascii="Calibri" w:cs="Calibri" w:eastAsia="Calibri" w:hAnsi="Calibri"/>
          <w:b/>
          <w:bCs/>
          <w:color w:val="0C2D55"/>
          <w:sz w:val="21"/>
          <w:szCs w:val="21"/>
        </w:rPr>
        <w:br/>
        <w:t>SabiScore</w:t>
      </w:r>
      <w:r>
        <w:rPr>
          <w:rFonts w:ascii="Calibri" w:cs="Calibri" w:eastAsia="Calibri" w:hAnsi="Calibri"/>
          <w:color w:val="4A5A6B"/>
          <w:sz w:val="20"/>
          <w:szCs w:val="20"/>
        </w:rPr>
        <w:t xml:space="preserve">  —  </w:t>
      </w:r>
      <w:r>
        <w:rPr>
          <w:rFonts w:ascii="Calibri" w:cs="Calibri" w:eastAsia="Calibri" w:hAnsi="Calibri"/>
          <w:color w:val="4A5A6B"/>
          <w:sz w:val="19"/>
          <w:szCs w:val="19"/>
        </w:rPr>
        <w:t xml:space="preserve">ML Prediction &amp; Observability Platform</w:t>
      </w:r>
    </w:p>
    <w:p>
      <w:pPr>
        <w:spacing w:before="0" w:after="38"/>
      </w:pPr>
      <w:r>
        <w:rPr>
          <w:rFonts w:ascii="Calibri" w:cs="Calibri" w:eastAsia="Calibri" w:hAnsi="Calibri"/>
          <w:i/>
          <w:iCs/>
          <w:color w:val="4A5A6B"/>
          <w:sz w:val="17"/>
          <w:szCs w:val="17"/>
        </w:rPr>
        <w:t xml:space="preserve">FastAPI · XGBoost / LightGBM / CatBoost · Redis Pub/Sub · Prometheus · Grafana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color w:val="0F1923"/>
          <w:sz w:val="20"/>
          <w:szCs w:val="20"/>
        </w:rPr>
        <w:t>An ensemble inference platform with versioned caching, delivery telemetry, and a deterministic fallback path when model output is unavailable.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color w:val="0F1923"/>
          <w:sz w:val="20"/>
          <w:szCs w:val="20"/>
        </w:rPr>
        <w:t>Separated inference work from repeated reads through a model-versioned cache;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the event path uses bounded retries and dead-letter recovery instead of silently dropping failed work.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color w:val="0F1923"/>
          <w:sz w:val="20"/>
          <w:szCs w:val="20"/>
        </w:rPr>
        <w:t>Prometheus and Grafana expose model delivery, latency, and service-health signals so an engineer can trace a degraded response to its source.</w:t>
      </w: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</w:r>
      <w:r>
        <w:rPr>
          <w:rFonts w:ascii="Calibri" w:cs="Calibri" w:eastAsia="Calibri" w:hAnsi="Calibri"/>
          <w:color w:val="0F1923"/>
          <w:sz w:val="20"/>
          <w:szCs w:val="20"/>
        </w:rPr>
      </w:r>
    </w:p>
    <w:p>
      <w:pPr>
        <w:pBdr>
          <w:bottom w:val="single" w:color="BDD0E8" w:sz="4" w:space="1"/>
        </w:pBdr>
        <w:spacing w:before="178" w:after="54"/>
      </w:pPr>
      <w:r>
        <w:rPr>
          <w:rFonts w:ascii="Calibri" w:cs="Calibri" w:eastAsia="Calibri" w:hAnsi="Calibri"/>
          <w:b/>
          <w:bCs/>
          <w:color w:val="0C2D55"/>
          <w:spacing w:val="90"/>
          <w:sz w:val="19"/>
          <w:szCs w:val="19"/>
        </w:rPr>
        <w:t xml:space="preserve">OPEN SOURCE CONTRIBUTIONS</w:t>
      </w:r>
    </w:p>
    <w:p>
      <w:pPr>
        <w:spacing w:before="64" w:after="4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740"/>
        <w:gridCol w:w="6060"/>
      </w:tblGrid>
      <w:tr>
        <w:tc>
          <w:tcPr>
            <w:tcW w:type="dxa" w:w="1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7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pg-tenant</w:t>
            </w:r>
          </w:p>
        </w:tc>
        <w:tc>
          <w:tcPr>
            <w:tcW w:type="dxa" w:w="17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94"/>
              <w:bottom w:type="dxa" w:w="60"/>
              <w:right w:type="dxa" w:w="7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A5A6B"/>
                <w:sz w:val="17"/>
                <w:szCs w:val="17"/>
              </w:rPr>
              <w:t xml:space="preserve">Node.js · PostgreSQL</w:t>
            </w:r>
          </w:p>
        </w:tc>
        <w:tc>
          <w:tcPr>
            <w:tcW w:type="dxa" w:w="6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94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7"/>
                <w:szCs w:val="17"/>
              </w:rPr>
              <w:t>Provides database-level tenant scoping with PostgreSQL RLS, reducing reliance on application filters and making isolation tests explicit.</w:t>
            </w:r>
          </w:p>
        </w:tc>
      </w:tr>
      <w:tr>
        <w:tc>
          <w:tcPr>
            <w:tcW w:type="dxa" w:w="1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7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audit-chain</w:t>
            </w:r>
          </w:p>
        </w:tc>
        <w:tc>
          <w:tcPr>
            <w:tcW w:type="dxa" w:w="17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94"/>
              <w:bottom w:type="dxa" w:w="60"/>
              <w:right w:type="dxa" w:w="7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A5A6B"/>
                <w:sz w:val="17"/>
                <w:szCs w:val="17"/>
              </w:rPr>
              <w:t xml:space="preserve">Fintech · Compliance</w:t>
            </w:r>
          </w:p>
        </w:tc>
        <w:tc>
          <w:tcPr>
            <w:tcW w:type="dxa" w:w="6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94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7"/>
                <w:szCs w:val="17"/>
              </w:rPr>
              <w:t>Generates a hash-linked audit sequence so a later edit breaks the verification chain at the affected record.</w:t>
            </w:r>
          </w:p>
        </w:tc>
      </w:tr>
      <w:tr>
        <w:tc>
          <w:tcPr>
            <w:tcW w:type="dxa" w:w="15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7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D55"/>
                <w:sz w:val="18"/>
                <w:szCs w:val="18"/>
              </w:rPr>
              <w:t xml:space="preserve">node-debug-llm</w:t>
            </w:r>
          </w:p>
        </w:tc>
        <w:tc>
          <w:tcPr>
            <w:tcW w:type="dxa" w:w="174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94"/>
              <w:bottom w:type="dxa" w:w="60"/>
              <w:right w:type="dxa" w:w="78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A5A6B"/>
                <w:sz w:val="17"/>
                <w:szCs w:val="17"/>
              </w:rPr>
              <w:t xml:space="preserve">AI · DevOps</w:t>
            </w:r>
          </w:p>
        </w:tc>
        <w:tc>
          <w:tcPr>
            <w:tcW w:type="dxa" w:w="606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94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F1923"/>
                <w:sz w:val="17"/>
                <w:szCs w:val="17"/>
              </w:rPr>
              <w:t>Turns live logs and traces into ranked root-cause hypotheses while keeping the underlying evidence available for engineer review.</w:t>
            </w:r>
          </w:p>
        </w:tc>
      </w:tr>
    </w:tbl>
    <w:p>
      <w:pPr>
        <w:spacing w:before="54" w:after="46"/>
      </w:pPr>
      <w:r>
        <w:rPr>
          <w:rFonts w:ascii="Calibri" w:cs="Calibri" w:eastAsia="Calibri" w:hAnsi="Calibri"/>
          <w:i/>
          <w:iCs/>
          <w:color w:val="4A5A6B"/>
          <w:sz w:val="18"/>
          <w:szCs w:val="18"/>
        </w:rPr>
        <w:t>Public repositories and authored engineering notes: github.com/Scardubu  ·  scardubu.dev</w:t>
      </w:r>
    </w:p>
    <w:p>
      <w:pPr>
        <w:pBdr>
          <w:bottom w:val="single" w:color="BDD0E8" w:sz="4" w:space="1"/>
        </w:pBdr>
        <w:spacing w:before="178" w:after="54"/>
      </w:pPr>
      <w:r>
        <w:rPr>
          <w:rFonts w:ascii="Calibri" w:cs="Calibri" w:eastAsia="Calibri" w:hAnsi="Calibri"/>
          <w:b/>
          <w:bCs/>
          <w:color w:val="0C2D55"/>
          <w:spacing w:val="90"/>
          <w:sz w:val="19"/>
          <w:szCs w:val="19"/>
        </w:rPr>
        <w:t xml:space="preserve">LEADERSHIP &amp; COMMUNITY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 xml:space="preserve">Architecture advisor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to early-stage fintech founders — reviewing system design decisions, ML deployment strategies, and security posture at critical pre-launch and early-growth stages.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 xml:space="preserve">Speaker at Lagos JS and Python community meetups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on distributed systems design, deploying ML models in production, and building resilient backend infrastructure.</w:t>
      </w:r>
    </w:p>
    <w:p>
      <w:pPr>
        <w:pStyle w:val="ListParagraph"/>
        <w:numPr>
          <w:ilvl w:val="0"/>
          <w:numId w:val="2"/>
        </w:numPr>
        <w:spacing w:before="20" w:after="22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>Technical author at scardubu.dev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 — publishing practical engineering guides on backend reliability, platform decisions, and AI infrastructure.</w:t>
      </w:r>
    </w:p>
    <w:p>
      <w:pPr>
        <w:pBdr>
          <w:bottom w:val="single" w:color="BDD0E8" w:sz="4" w:space="1"/>
        </w:pBdr>
        <w:spacing w:before="178" w:after="54"/>
      </w:pPr>
      <w:r>
        <w:rPr>
          <w:rFonts w:ascii="Calibri" w:cs="Calibri" w:eastAsia="Calibri" w:hAnsi="Calibri"/>
          <w:b/>
          <w:bCs/>
          <w:color w:val="0C2D55"/>
          <w:spacing w:val="90"/>
          <w:sz w:val="19"/>
          <w:szCs w:val="19"/>
        </w:rPr>
        <w:t xml:space="preserve">CERTIFICATIONS &amp; EDUCATION</w:t>
      </w:r>
    </w:p>
    <w:p>
      <w:pPr>
        <w:spacing w:before="58" w:after="4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F1923"/>
                <w:sz w:val="19"/>
                <w:szCs w:val="19"/>
              </w:rPr>
              <w:t xml:space="preserve">AWS Certified Developer</w:t>
            </w:r>
            <w:r>
              <w:rPr>
                <w:rFonts w:ascii="Calibri" w:cs="Calibri" w:eastAsia="Calibri" w:hAnsi="Calibri"/>
                <w:color w:val="4A5A6B"/>
                <w:sz w:val="19"/>
                <w:szCs w:val="19"/>
              </w:rPr>
              <w:t xml:space="preserve">  ·  Dec 2023</w:t>
            </w:r>
          </w:p>
        </w:tc>
        <w:tc>
          <w:tcPr>
            <w:tcW w:type="dxa" w:w="4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EF4FB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F1923"/>
                <w:sz w:val="19"/>
                <w:szCs w:val="19"/>
              </w:rPr>
              <w:t xml:space="preserve">GCP Associate Cloud Engineer</w:t>
            </w:r>
            <w:r>
              <w:rPr>
                <w:rFonts w:ascii="Calibri" w:cs="Calibri" w:eastAsia="Calibri" w:hAnsi="Calibri"/>
                <w:color w:val="4A5A6B"/>
                <w:sz w:val="19"/>
                <w:szCs w:val="19"/>
              </w:rPr>
              <w:t xml:space="preserve">  ·  Aug 2023</w:t>
            </w:r>
          </w:p>
        </w:tc>
      </w:tr>
      <w:tr>
        <w:tc>
          <w:tcPr>
            <w:tcW w:type="dxa" w:w="4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F1923"/>
                <w:sz w:val="19"/>
                <w:szCs w:val="19"/>
              </w:rPr>
              <w:t xml:space="preserve">OpenJS Node.js Services (JSNSD)</w:t>
            </w:r>
            <w:r>
              <w:rPr>
                <w:rFonts w:ascii="Calibri" w:cs="Calibri" w:eastAsia="Calibri" w:hAnsi="Calibri"/>
                <w:color w:val="4A5A6B"/>
                <w:sz w:val="19"/>
                <w:szCs w:val="19"/>
              </w:rPr>
              <w:t xml:space="preserve">  ·  May 2024</w:t>
            </w:r>
          </w:p>
        </w:tc>
        <w:tc>
          <w:tcPr>
            <w:tcW w:type="dxa" w:w="468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60"/>
              <w:left w:type="dxa" w:w="116"/>
              <w:bottom w:type="dxa" w:w="60"/>
              <w:right w:type="dxa" w:w="116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F1923"/>
                <w:sz w:val="19"/>
                <w:szCs w:val="19"/>
              </w:rPr>
              <w:t xml:space="preserve">PostgreSQL 14 Associate</w:t>
            </w:r>
            <w:r>
              <w:rPr>
                <w:rFonts w:ascii="Calibri" w:cs="Calibri" w:eastAsia="Calibri" w:hAnsi="Calibri"/>
                <w:color w:val="4A5A6B"/>
                <w:sz w:val="19"/>
                <w:szCs w:val="19"/>
              </w:rPr>
              <w:t xml:space="preserve">  ·  Mar 2024</w:t>
            </w:r>
          </w:p>
        </w:tc>
      </w:tr>
    </w:tbl>
    <w:p>
      <w:pPr>
        <w:spacing w:before="62" w:after="16"/>
      </w:pPr>
      <w:r>
        <w:rPr>
          <w:rFonts w:ascii="Calibri" w:cs="Calibri" w:eastAsia="Calibri" w:hAnsi="Calibri"/>
          <w:b/>
          <w:bCs/>
          <w:color w:val="0F1923"/>
          <w:sz w:val="20"/>
          <w:szCs w:val="20"/>
        </w:rPr>
        <w:t xml:space="preserve">B.Tech, Environmental Technology  ·  </w:t>
      </w:r>
      <w:r>
        <w:rPr>
          <w:rFonts w:ascii="Calibri" w:cs="Calibri" w:eastAsia="Calibri" w:hAnsi="Calibri"/>
          <w:color w:val="0F1923"/>
          <w:sz w:val="20"/>
          <w:szCs w:val="20"/>
        </w:rPr>
        <w:t xml:space="preserve">Federal University of Technology, Owerri  ·  2006–2011</w:t>
      </w:r>
    </w:p>
    <w:p>
      <w:pPr>
        <w:spacing w:before="0" w:after="0"/>
      </w:pPr>
      <w:r>
        <w:rPr>
          <w:rFonts w:ascii="Calibri" w:cs="Calibri" w:eastAsia="Calibri" w:hAnsi="Calibri"/>
          <w:i/>
          <w:iCs/>
          <w:color w:val="4A5A6B"/>
          <w:sz w:val="18"/>
          <w:szCs w:val="18"/>
        </w:rPr>
        <w:t>Non-CS academic background. Certification details are resume-listed and available for verification on request; public repositories provide the inspectable engineering record.</w:t>
      </w:r>
    </w:p>
    <w:sectPr>
      <w:pgSz w:w="12240" w:h="15840" w:orient="portrait"/>
      <w:pgMar w:top="648" w:right="1008" w:bottom="64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00"/>
      </w:pPr>
      <w:rPr>
        <w:rFonts w:ascii="Calibri" w:cs="Calibri" w:eastAsia="Calibri" w:hAnsi="Calibri"/>
        <w:color w:val="1A5C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92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2026-03-15T16:48:49.593Z</dcterms:created>
  <dcterms:modified xsi:type="dcterms:W3CDTF">2026-03-15T16:48:49.594Z</dcterms:modified>
  <dc:title>Oscar Ndugbu - Staff Backend and Platform Engineer</dc:title>
  <dc:subject>Backend systems, platform engineering, AI infrastructure, and reliability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