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p>
      <w:pPr>
        <w:jc w:val="center"/>
      </w:pPr>
      <w:r>
        <w:rPr>
          <w:rFonts w:ascii="Arial" w:cs="Arial" w:eastAsia="Arial" w:hAnsi="Arial"/>
          <w:b/>
          <w:bCs/>
          <w:color w:val="0A2540"/>
          <w:sz w:val="72"/>
          <w:szCs w:val="72"/>
        </w:rPr>
        <w:t xml:space="preserve">TAXBRIDGE</w:t>
      </w:r>
    </w:p>
    <w:p>
      <w:pPr>
        <w:spacing w:before="80" w:after="0"/>
        <w:jc w:val="center"/>
      </w:pPr>
      <w:r>
        <w:rPr>
          <w:rFonts w:ascii="Arial" w:cs="Arial" w:eastAsia="Arial" w:hAnsi="Arial"/>
          <w:color w:val="1A3A5C"/>
          <w:sz w:val="36"/>
          <w:szCs w:val="36"/>
        </w:rPr>
        <w:t xml:space="preserve">V11.0 — Intelligent Operations &amp;</w:t>
      </w:r>
    </w:p>
    <w:p>
      <w:pPr>
        <w:spacing w:before="0" w:after="200"/>
        <w:jc w:val="center"/>
      </w:pPr>
      <w:r>
        <w:rPr>
          <w:rFonts w:ascii="Arial" w:cs="Arial" w:eastAsia="Arial" w:hAnsi="Arial"/>
          <w:color w:val="1A3A5C"/>
          <w:sz w:val="36"/>
          <w:szCs w:val="36"/>
        </w:rPr>
        <w:t xml:space="preserve">Deployment Completion Layer</w:t>
      </w:r>
    </w:p>
    <w:p>
      <w:pPr>
        <w:pBdr>
          <w:bottom w:val="single" w:color="E6A817" w:sz="8" w:space="1"/>
        </w:pBdr>
        <w:spacing w:before="160" w:after="160"/>
      </w:pPr>
    </w:p>
    <w:p>
      <w:pPr>
        <w:spacing w:before="400" w:after="0"/>
      </w:pPr>
    </w:p>
    <w:p>
      <w:pPr>
        <w:jc w:val="center"/>
      </w:pPr>
      <w:r>
        <w:rPr>
          <w:rFonts w:ascii="Arial" w:cs="Arial" w:eastAsia="Arial" w:hAnsi="Arial"/>
          <w:i/>
          <w:iCs/>
          <w:color w:val="6B7280"/>
          <w:sz w:val="26"/>
          <w:szCs w:val="26"/>
        </w:rPr>
        <w:t xml:space="preserve">Production Engineering Specification</w:t>
      </w:r>
    </w:p>
    <w:p>
      <w:pPr>
        <w:spacing w:before="1200" w:after="0"/>
      </w:pPr>
    </w:p>
    <w:p>
      <w:pPr>
        <w:jc w:val="center"/>
      </w:pPr>
      <w:r>
        <w:rPr>
          <w:rFonts w:ascii="Arial" w:cs="Arial" w:eastAsia="Arial" w:hAnsi="Arial"/>
          <w:color w:val="6B7280"/>
          <w:sz w:val="22"/>
          <w:szCs w:val="22"/>
        </w:rPr>
        <w:t xml:space="preserve">Nigerian Tax Compliance Platform  ·  NTA 2025  ·  February 2026</w:t>
      </w:r>
    </w:p>
    <w:p>
      <w:pPr>
        <w:spacing w:before="2400" w:after="0"/>
      </w:pPr>
    </w:p>
    <w:tbl>
      <w:tblPr>
        <w:tblW w:type="dxa" w:w="10080"/>
        <w:tblBorders>
          <w:top w:val="single" w:color="auto" w:sz="4"/>
          <w:start w:val="single" w:color="auto" w:sz="4"/>
          <w:bottom w:val="single" w:color="auto" w:sz="4"/>
          <w:end w:val="single" w:color="auto" w:sz="4"/>
          <w:insideH w:val="single" w:color="auto" w:sz="4"/>
          <w:insideV w:val="single" w:color="auto" w:sz="4"/>
        </w:tblBorders>
      </w:tblPr>
      <w:tblGrid>
        <w:gridCol w:w="2400"/>
        <w:gridCol w:w="7680"/>
      </w:tblGrid>
      <w:tr>
        <w:tc>
          <w:tcPr>
            <w:tcBorders>
              <w:top w:val="single" w:color="FFFFFF" w:sz="1"/>
              <w:left w:val="single" w:color="FFFFFF" w:sz="1"/>
              <w:bottom w:val="single" w:color="FFFFFF" w:sz="1"/>
              <w:right w:val="single" w:color="FFFFFF"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Backend (Render)</w:t>
            </w:r>
          </w:p>
        </w:tc>
        <w:tc>
          <w:tcPr>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Courier New" w:cs="Courier New" w:eastAsia="Courier New" w:hAnsi="Courier New"/>
                <w:color w:val="0A2540"/>
                <w:sz w:val="18"/>
                <w:szCs w:val="18"/>
              </w:rPr>
              <w:t xml:space="preserve">https://taxbridge-api-ker8.onrender.com</w:t>
            </w:r>
          </w:p>
        </w:tc>
      </w:tr>
      <w:tr>
        <w:tc>
          <w:tcPr>
            <w:tcBorders>
              <w:top w:val="single" w:color="FFFFFF" w:sz="1"/>
              <w:left w:val="single" w:color="FFFFFF" w:sz="1"/>
              <w:bottom w:val="single" w:color="FFFFFF" w:sz="1"/>
              <w:right w:val="single" w:color="FFFFFF"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Admin (Vercel)</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0A2540"/>
                <w:sz w:val="18"/>
                <w:szCs w:val="18"/>
              </w:rPr>
              <w:t xml:space="preserve">https://taxbridge.vercel.app</w:t>
            </w:r>
          </w:p>
        </w:tc>
      </w:tr>
      <w:tr>
        <w:tc>
          <w:tcPr>
            <w:tcBorders>
              <w:top w:val="single" w:color="FFFFFF" w:sz="1"/>
              <w:left w:val="single" w:color="FFFFFF" w:sz="1"/>
              <w:bottom w:val="single" w:color="FFFFFF" w:sz="1"/>
              <w:right w:val="single" w:color="FFFFFF"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Mobile Target</w:t>
            </w:r>
          </w:p>
        </w:tc>
        <w:tc>
          <w:tcPr>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Courier New" w:cs="Courier New" w:eastAsia="Courier New" w:hAnsi="Courier New"/>
                <w:color w:val="0A2540"/>
                <w:sz w:val="18"/>
                <w:szCs w:val="18"/>
              </w:rPr>
              <w:t xml:space="preserve">Android APK via EAS — Google Play Internal Testing v11.0.0</w:t>
            </w:r>
          </w:p>
        </w:tc>
      </w:tr>
      <w:tr>
        <w:tc>
          <w:tcPr>
            <w:tcBorders>
              <w:top w:val="single" w:color="FFFFFF" w:sz="1"/>
              <w:left w:val="single" w:color="FFFFFF" w:sz="1"/>
              <w:bottom w:val="single" w:color="FFFFFF" w:sz="1"/>
              <w:right w:val="single" w:color="FFFFFF"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Repository</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0A2540"/>
                <w:sz w:val="18"/>
                <w:szCs w:val="18"/>
              </w:rPr>
              <w:t xml:space="preserve">github.com/Scardubu/taxbridge  ·  branch: impl-v11.0-complete</w:t>
            </w:r>
          </w:p>
        </w:tc>
      </w:tr>
      <w:tr>
        <w:tc>
          <w:tcPr>
            <w:tcBorders>
              <w:top w:val="single" w:color="FFFFFF" w:sz="1"/>
              <w:left w:val="single" w:color="FFFFFF" w:sz="1"/>
              <w:bottom w:val="single" w:color="FFFFFF" w:sz="1"/>
              <w:right w:val="single" w:color="FFFFFF"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Supersedes</w:t>
            </w:r>
          </w:p>
        </w:tc>
        <w:tc>
          <w:tcPr>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Courier New" w:cs="Courier New" w:eastAsia="Courier New" w:hAnsi="Courier New"/>
                <w:color w:val="0A2540"/>
                <w:sz w:val="18"/>
                <w:szCs w:val="18"/>
              </w:rPr>
              <w:t xml:space="preserve">V10.3 Implementation Prompt (February 22, 2026)</w:t>
            </w:r>
          </w:p>
        </w:tc>
      </w:tr>
      <w:tr>
        <w:tc>
          <w:tcPr>
            <w:tcBorders>
              <w:top w:val="single" w:color="FFFFFF" w:sz="1"/>
              <w:left w:val="single" w:color="FFFFFF" w:sz="1"/>
              <w:bottom w:val="single" w:color="FFFFFF" w:sz="1"/>
              <w:right w:val="single" w:color="FFFFFF"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0A2540"/>
                <w:sz w:val="18"/>
                <w:szCs w:val="18"/>
              </w:rPr>
              <w:t xml:space="preserve">Production-Ready — All gates must pass before deployment</w:t>
            </w:r>
          </w:p>
        </w:tc>
      </w:tr>
    </w:tbl>
    <w:p>
      <w:r>
        <w:br w:type="page"/>
      </w:r>
    </w:p>
    <w:p>
      <w:pPr>
        <w:pStyle w:val="Heading1"/>
        <w:spacing w:before="400" w:after="200"/>
      </w:pPr>
      <w:r>
        <w:rPr>
          <w:rFonts w:ascii="Arial" w:cs="Arial" w:eastAsia="Arial" w:hAnsi="Arial"/>
          <w:b/>
          <w:bCs/>
          <w:color w:val="0A2540"/>
          <w:sz w:val="36"/>
          <w:szCs w:val="36"/>
        </w:rPr>
        <w:t xml:space="preserve">0. Executive Summary</w:t>
      </w:r>
    </w:p>
    <w:p>
      <w:pPr>
        <w:spacing w:before="80" w:after="80"/>
      </w:pPr>
      <w:r>
        <w:rPr>
          <w:rFonts w:ascii="Arial" w:cs="Arial" w:eastAsia="Arial" w:hAnsi="Arial"/>
          <w:color w:val="1A1A2E"/>
          <w:sz w:val="22"/>
          <w:szCs w:val="22"/>
        </w:rPr>
        <w:t xml:space="preserve">TaxBridge V11.0 closes every structural, security, and deployment gap identified during the V10.3 audit. The platform emerges as a production-grade Nigerian tax compliance system spanning an Expo/React Native mobile app, a Next.js admin panel at taxbridge.vercel.app, and a Node.js/Express/PostgreSQL backend on Render.</w:t>
      </w:r>
    </w:p>
    <w:p>
      <w:pPr>
        <w:spacing w:before="200" w:after="0"/>
      </w:pPr>
    </w:p>
    <w:p>
      <w:pPr>
        <w:spacing w:before="80" w:after="80"/>
      </w:pPr>
      <w:r>
        <w:rPr>
          <w:rFonts w:ascii="Arial" w:cs="Arial" w:eastAsia="Arial" w:hAnsi="Arial"/>
          <w:color w:val="1A1A2E"/>
          <w:sz w:val="22"/>
          <w:szCs w:val="22"/>
        </w:rPr>
        <w:t xml:space="preserve">Eight critical gap categories were identified and resolved:</w:t>
      </w:r>
    </w:p>
    <w:p>
      <w:pPr>
        <w:spacing w:before="120" w:after="0"/>
      </w:pPr>
    </w:p>
    <w:tbl>
      <w:tblPr>
        <w:tblW w:type="dxa" w:w="10080"/>
        <w:tblBorders>
          <w:top w:val="single" w:color="auto" w:sz="4"/>
          <w:start w:val="single" w:color="auto" w:sz="4"/>
          <w:bottom w:val="single" w:color="auto" w:sz="4"/>
          <w:end w:val="single" w:color="auto" w:sz="4"/>
          <w:insideH w:val="single" w:color="auto" w:sz="4"/>
          <w:insideV w:val="single" w:color="auto" w:sz="4"/>
        </w:tblBorders>
      </w:tblPr>
      <w:tblGrid>
        <w:gridCol w:w="400"/>
        <w:gridCol w:w="3000"/>
        <w:gridCol w:w="900"/>
        <w:gridCol w:w="4780"/>
      </w:tblGrid>
      <w:tr>
        <w:trPr>
          <w:tblHeader/>
        </w:trPr>
        <w:tc>
          <w:tcPr>
            <w:tcW w:type="dxa" w:w="40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300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Gap Category</w:t>
            </w:r>
          </w:p>
        </w:tc>
        <w:tc>
          <w:tcPr>
            <w:tcW w:type="dxa" w:w="90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Severity</w:t>
            </w:r>
          </w:p>
        </w:tc>
        <w:tc>
          <w:tcPr>
            <w:tcW w:type="dxa" w:w="478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V11.0 Resolution</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G-01</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RBAC never enforced at middleware level</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CRITICAL</w:t>
            </w:r>
          </w:p>
        </w:tc>
        <w:tc>
          <w:tcPr>
            <w:tcW w:type="dxa" w:w="47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MOD-28: requireRole() middleware + role matrix + session invalidation</w:t>
            </w:r>
          </w:p>
        </w:tc>
      </w:tr>
      <w:tr>
        <w:tc>
          <w:tcPr>
            <w:tcW w:type="dxa" w:w="4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G-02</w:t>
            </w:r>
          </w:p>
        </w:tc>
        <w:tc>
          <w:tcPr>
            <w:tcW w:type="dxa" w:w="30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Anomaly engine not wired to snapshot cron</w:t>
            </w:r>
          </w:p>
        </w:tc>
        <w:tc>
          <w:tcPr>
            <w:tcW w:type="dxa" w:w="9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HIGH</w:t>
            </w:r>
          </w:p>
        </w:tc>
        <w:tc>
          <w:tcPr>
            <w:tcW w:type="dxa" w:w="47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MOD-31: Event bus anomaly.detected → snapshot + notification + audit</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G-03</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No onboarding wizard implementation</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HIGH</w:t>
            </w:r>
          </w:p>
        </w:tc>
        <w:tc>
          <w:tcPr>
            <w:tcW w:type="dxa" w:w="47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MOD-29: 5-step wizard, offline-safe, AsyncStorage persisted</w:t>
            </w:r>
          </w:p>
        </w:tc>
      </w:tr>
      <w:tr>
        <w:tc>
          <w:tcPr>
            <w:tcW w:type="dxa" w:w="4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G-04</w:t>
            </w:r>
          </w:p>
        </w:tc>
        <w:tc>
          <w:tcPr>
            <w:tcW w:type="dxa" w:w="30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No monitoring/observability stack</w:t>
            </w:r>
          </w:p>
        </w:tc>
        <w:tc>
          <w:tcPr>
            <w:tcW w:type="dxa" w:w="9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HIGH</w:t>
            </w:r>
          </w:p>
        </w:tc>
        <w:tc>
          <w:tcPr>
            <w:tcW w:type="dxa" w:w="47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MOD-30: Prometheus + Grafana + Sentry PII scrubbing</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G-05</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Blue-green deployment undefined</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HIGH</w:t>
            </w:r>
          </w:p>
        </w:tc>
        <w:tc>
          <w:tcPr>
            <w:tcW w:type="dxa" w:w="47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Full pipeline YAML + traffic-swap rollback procedure</w:t>
            </w:r>
          </w:p>
        </w:tc>
      </w:tr>
      <w:tr>
        <w:tc>
          <w:tcPr>
            <w:tcW w:type="dxa" w:w="4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G-06</w:t>
            </w:r>
          </w:p>
        </w:tc>
        <w:tc>
          <w:tcPr>
            <w:tcW w:type="dxa" w:w="30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Missing API versioning strategy</w:t>
            </w:r>
          </w:p>
        </w:tc>
        <w:tc>
          <w:tcPr>
            <w:tcW w:type="dxa" w:w="9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HIGH</w:t>
            </w:r>
          </w:p>
        </w:tc>
        <w:tc>
          <w:tcPr>
            <w:tcW w:type="dxa" w:w="47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/api/v2 gateway + deprecation headers, sunset 2026-08-01</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G-07</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TaxAcademy siloed from core UX</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MEDIUM</w:t>
            </w:r>
          </w:p>
        </w:tc>
        <w:tc>
          <w:tcPr>
            <w:tcW w:type="dxa" w:w="47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7 contextual entry points: filing, anomaly, onboarding flows</w:t>
            </w:r>
          </w:p>
        </w:tc>
      </w:tr>
      <w:tr>
        <w:tc>
          <w:tcPr>
            <w:tcW w:type="dxa" w:w="4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G-08</w:t>
            </w:r>
          </w:p>
        </w:tc>
        <w:tc>
          <w:tcPr>
            <w:tcW w:type="dxa" w:w="30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Security gaps: HMAC, CORS, JWT, PII</w:t>
            </w:r>
          </w:p>
        </w:tc>
        <w:tc>
          <w:tcPr>
            <w:tcW w:type="dxa" w:w="9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HIGH</w:t>
            </w:r>
          </w:p>
        </w:tc>
        <w:tc>
          <w:tcPr>
            <w:tcW w:type="dxa" w:w="47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Flutterwave HMAC fix, Sentry scrubbing, helmet CSP, jose Edge JWT</w:t>
            </w:r>
          </w:p>
        </w:tc>
      </w:tr>
    </w:tbl>
    <w:p>
      <w:pPr>
        <w:spacing w:before="320" w:after="0"/>
      </w:pPr>
    </w:p>
    <w:p>
      <w:pPr>
        <w:pStyle w:val="Heading3"/>
        <w:spacing w:before="240" w:after="100"/>
      </w:pPr>
      <w:r>
        <w:rPr>
          <w:rFonts w:ascii="Arial" w:cs="Arial" w:eastAsia="Arial" w:hAnsi="Arial"/>
          <w:b/>
          <w:bCs/>
          <w:color w:val="0A2540"/>
          <w:sz w:val="24"/>
          <w:szCs w:val="24"/>
        </w:rPr>
        <w:t xml:space="preserve">Additional Surgical Corrections Applied</w:t>
      </w:r>
    </w:p>
    <w:tbl>
      <w:tblPr>
        <w:tblW w:type="dxa" w:w="10080"/>
        <w:tblBorders>
          <w:top w:val="single" w:color="auto" w:sz="4"/>
          <w:start w:val="single" w:color="auto" w:sz="4"/>
          <w:bottom w:val="single" w:color="auto" w:sz="4"/>
          <w:end w:val="single" w:color="auto" w:sz="4"/>
          <w:insideH w:val="single" w:color="auto" w:sz="4"/>
          <w:insideV w:val="single" w:color="auto" w:sz="4"/>
        </w:tblBorders>
      </w:tblPr>
      <w:tblGrid>
        <w:gridCol w:w="2600"/>
        <w:gridCol w:w="3400"/>
        <w:gridCol w:w="3080"/>
      </w:tblGrid>
      <w:tr>
        <w:trPr>
          <w:tblHeader/>
        </w:trPr>
        <w:tc>
          <w:tcPr>
            <w:tcW w:type="dxa" w:w="260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Bug / Defect</w:t>
            </w:r>
          </w:p>
        </w:tc>
        <w:tc>
          <w:tcPr>
            <w:tcW w:type="dxa" w:w="340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Root Cause</w:t>
            </w:r>
          </w:p>
        </w:tc>
        <w:tc>
          <w:tcPr>
            <w:tcW w:type="dxa" w:w="308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Fix Applied</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Reanimated worklet violation</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buildArcPath called on JS thread inside useAnimatedProps</w:t>
            </w:r>
          </w:p>
        </w:tc>
        <w:tc>
          <w:tcPr>
            <w:tcW w:type="dxa" w:w="3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Marked 'worklet' — all arc/color functions run on UI thread</w:t>
            </w:r>
          </w:p>
        </w:tc>
      </w:tr>
      <w:tr>
        <w:tc>
          <w:tcPr>
            <w:tcW w:type="dxa" w:w="26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prom-client crash on hot reload</w:t>
            </w:r>
          </w:p>
        </w:tc>
        <w:tc>
          <w:tcPr>
            <w:tcW w:type="dxa" w:w="34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Metrics registered twice without singleton guard</w:t>
            </w:r>
          </w:p>
        </w:tc>
        <w:tc>
          <w:tcPr>
            <w:tcW w:type="dxa" w:w="30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global.__taxbridge_prom_registry singleton pattern</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Flutterwave HMAC always false</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JSON.stringify(Buffer) used as HMAC body — always wrong</w:t>
            </w:r>
          </w:p>
        </w:tc>
        <w:tc>
          <w:tcPr>
            <w:tcW w:type="dxa" w:w="3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req.rawBody.toString("utf8") + timingSafeEqual</w:t>
            </w:r>
          </w:p>
        </w:tc>
      </w:tr>
      <w:tr>
        <w:tc>
          <w:tcPr>
            <w:tcW w:type="dxa" w:w="26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Sentry regex false positives</w:t>
            </w:r>
          </w:p>
        </w:tc>
        <w:tc>
          <w:tcPr>
            <w:tcW w:type="dxa" w:w="34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8-digit pattern masked 4-digit years (2025, 2026)</w:t>
            </w:r>
          </w:p>
        </w:tc>
        <w:tc>
          <w:tcPr>
            <w:tcW w:type="dxa" w:w="30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Ordered: BVN(11) → ACCT(10) → TIN(8), \b anchors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Redis memory leak</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redis.set() without TTL for role_version key</w:t>
            </w:r>
          </w:p>
        </w:tc>
        <w:tc>
          <w:tcPr>
            <w:tcW w:type="dxa" w:w="3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redis.setex() with 90-day TTL</w:t>
            </w:r>
          </w:p>
        </w:tc>
      </w:tr>
      <w:tr>
        <w:tc>
          <w:tcPr>
            <w:tcW w:type="dxa" w:w="26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express.raw ordering</w:t>
            </w:r>
          </w:p>
        </w:tc>
        <w:tc>
          <w:tcPr>
            <w:tcW w:type="dxa" w:w="34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express.json() before express.raw() — rawBody unavailable</w:t>
            </w:r>
          </w:p>
        </w:tc>
        <w:tc>
          <w:tcPr>
            <w:tcW w:type="dxa" w:w="30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express.raw("/webhooks") registered first in app.ts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Admin JWT in Edge Runtime</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jsonwebtoken uses Node crypto — fails in Vercel Edge middleware</w:t>
            </w:r>
          </w:p>
        </w:tc>
        <w:tc>
          <w:tcPr>
            <w:tcW w:type="dxa" w:w="3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jose jwtVerify() — Edge Runtime compatible</w:t>
            </w:r>
          </w:p>
        </w:tc>
      </w:tr>
      <w:tr>
        <w:tc>
          <w:tcPr>
            <w:tcW w:type="dxa" w:w="26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CI release double-run failure</w:t>
            </w:r>
          </w:p>
        </w:tc>
        <w:tc>
          <w:tcPr>
            <w:tcW w:type="dxa" w:w="34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git tag fails if tag already exists</w:t>
            </w:r>
          </w:p>
        </w:tc>
        <w:tc>
          <w:tcPr>
            <w:tcW w:type="dxa" w:w="30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Idempotent: git tag 2&gt;/dev/null || echo "exists"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useEffect stale closure</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delay and zone not in deps array of DashboardZone</w:t>
            </w:r>
          </w:p>
        </w:tc>
        <w:tc>
          <w:tcPr>
            <w:tcW w:type="dxa" w:w="3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Exhaustive deps: [visible, delay, zone, opacity, scale, translateY]</w:t>
            </w:r>
          </w:p>
        </w:tc>
      </w:tr>
      <w:tr>
        <w:tc>
          <w:tcPr>
            <w:tcW w:type="dxa" w:w="26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requireRole audit blocks 403</w:t>
            </w:r>
          </w:p>
        </w:tc>
        <w:tc>
          <w:tcPr>
            <w:tcW w:type="dxa" w:w="34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await auditLog() before return res.status(403)</w:t>
            </w:r>
          </w:p>
        </w:tc>
        <w:tc>
          <w:tcPr>
            <w:tcW w:type="dxa" w:w="30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Fire-and-forget: auditLog().catch(() =&gt; {}) before response</w:t>
            </w:r>
          </w:p>
        </w:tc>
      </w:tr>
    </w:tbl>
    <w:p>
      <w:r>
        <w:br w:type="page"/>
      </w:r>
    </w:p>
    <w:p>
      <w:pPr>
        <w:pStyle w:val="Heading1"/>
        <w:spacing w:before="400" w:after="200"/>
      </w:pPr>
      <w:r>
        <w:rPr>
          <w:rFonts w:ascii="Arial" w:cs="Arial" w:eastAsia="Arial" w:hAnsi="Arial"/>
          <w:b/>
          <w:bCs/>
          <w:color w:val="0A2540"/>
          <w:sz w:val="36"/>
          <w:szCs w:val="36"/>
        </w:rPr>
        <w:t xml:space="preserve">1. System Architecture — V11.0</w:t>
      </w:r>
    </w:p>
    <w:p>
      <w:pPr>
        <w:pStyle w:val="Heading2"/>
        <w:spacing w:before="300" w:after="140"/>
      </w:pPr>
      <w:r>
        <w:rPr>
          <w:rFonts w:ascii="Arial" w:cs="Arial" w:eastAsia="Arial" w:hAnsi="Arial"/>
          <w:b/>
          <w:bCs/>
          <w:color w:val="1A3A5C"/>
          <w:sz w:val="28"/>
          <w:szCs w:val="28"/>
        </w:rPr>
        <w:t xml:space="preserve">1.1 Topology Overview</w:t>
      </w:r>
    </w:p>
    <w:p>
      <w:pPr>
        <w:spacing w:before="80" w:after="80"/>
      </w:pPr>
      <w:r>
        <w:rPr>
          <w:rFonts w:ascii="Arial" w:cs="Arial" w:eastAsia="Arial" w:hAnsi="Arial"/>
          <w:color w:val="1A1A2E"/>
          <w:sz w:val="22"/>
          <w:szCs w:val="22"/>
        </w:rPr>
        <w:t xml:space="preserve">The V11.0 architecture introduces four new infrastructure layers over V10.3: an Event Bus wiring anomaly detection to real-time dashboard updates, a Cron Orchestrator consolidating all scheduled jobs, a Dead-Letter Queue for failed NRS stamp retries, and a prom-client Observability Layer feeding Grafana.</w:t>
      </w:r>
    </w:p>
    <w:p>
      <w:pPr>
        <w:spacing w:before="200" w:after="0"/>
      </w:pPr>
    </w:p>
    <w:p>
      <w:pPr>
        <w:pBdr>
          <w:left w:val="single" w:color="1A3A5C" w:sz="12" w:space="10"/>
        </w:pBdr>
        <w:shd w:fill="F1F5F9" w:val="clear"/>
        <w:spacing w:before="100" w:after="100"/>
        <w:ind w:left="360" w:right="360"/>
      </w:pPr>
      <w:r>
        <w:rPr>
          <w:rFonts w:ascii="Courier New" w:cs="Courier New" w:eastAsia="Courier New" w:hAnsi="Courier New"/>
          <w:color w:val="1E293B"/>
          <w:sz w:val="18"/>
          <w:szCs w:val="18"/>
        </w:rPr>
        <w:t>┌─────────────────────────────────────────────────────────────────────┐
│                         CLIENT LAYER                               │
│  ┌──────────────────────────┐   ┌──────────────────────────────┐  │
│  │  Expo / React Native     │   │  Next.js Admin Panel         │  │
│  │  iOS · Android           │   │  taxbridge.vercel.app        │  │
│  │  Offline Realm sync      │   │  Edge Runtime RBAC (jose)    │  │
│  │  Inter font · 2G-opt     │   │  Prometheus live metrics     │  │
│  └──────────┬───────────────┘   └──────────────┬───────────────┘  │
└─────────────┼────────────────────────────────────┼─────────────────┘
              │ HTTPS                              │ HTTPS             
┌─────────────▼────────────────────────────────────▼─────────────────┐
│                      BACKEND LAYER (Render)                        │
│  Express / Node.js · PORT from process.env.PORT · 0.0.0.0 bind    │
│  ┌──────────┐  ┌──────────┐  ┌──────────────┐  ┌───────────────┐  │
│  │ Auth +   │  │ RBAC     │  │ /api/v1      │  │ /api/v2       │  │
│  │ JWT      │  │ middleware│  │ composite    │  │ monitoring    │  │
│  │ (15min)  │  │ requireRole│ │ dashboard    │  │ rbac · audit  │  │
│  └──────────┘  └──────────┘  └──────────────┘  └───────────────┘  │
│                                                                    │
│  ┌─────────────────────────────────────────────────────────────┐  │
│  │                    EVENT BUS  [NEW V11.0]                   │  │
│  │  anomaly.detected → cache invalidate + snapshot + notify   │  │
│  │  AuditLog.write (fire-and-forget, append-only, NDPC)       │  │
│  └──────────────────────────────┬──────────────────────────────┘  │
│  ┌───────────────────────────────▼──────────────────────────────┐  │
│  │              CRON ORCHESTRATOR  [NEW V11.0]                  │  │
│  │  keepAlive(*/14min)  taxHealthSnapshot(6h)  dlqAlert(15min) │  │
│  │  nrsQueueDrain(30min)  complianceReminder(9am WAT daily)    │  │
│  └──────────────────────────────────────────────────────────────┘  │
│                                                                    │
│  ┌──────────────┐  ┌──────────────┐  ┌──────────────────────────┐ │
│  │  BullMQ      │  │ Prometheus   │  │  Sentry (PII scrubbed)   │ │
│  │  NRS stamps  │  │ /metrics     │  │  BVN·ACCT·TIN masked     │ │
│  │  DLQ depth   │  │ prom-client  │  │  before any event fires  │ │
│  └──────────────┘  └──────────────┘  └──────────────────────────┘ │
└─────────────────────────────────────────────────────────────────────┘
              │                              │                         
┌─────────────▼──────────────┐  ┌───────────▼───────────────────────┐
│     DATA LAYER             │  │     EXTERNAL INTEGRATIONS         │
│  PostgreSQL (primary)      │  │  NRS API (circuit breaker)        │
│  Redis (cache 120s TTL)    │  │  Flutterwave (HMAC rawBody)       │
│  Prisma ORM                │  │  Stripe · Twilio USSD             │
│  Append-only AuditLog      │  │  OpenAI (OCR · anomaly explain)   │
│  DLQJob · UserSession      │  │  AWS KMS (document vault keys)    │
└────────────────────────────┘  └───────────────────────────────────┘</w:t>
      </w:r>
    </w:p>
    <w:p>
      <w:pPr>
        <w:spacing w:before="240" w:after="0"/>
      </w:pPr>
    </w:p>
    <w:p>
      <w:pPr>
        <w:pStyle w:val="Heading2"/>
        <w:spacing w:before="300" w:after="140"/>
      </w:pPr>
      <w:r>
        <w:rPr>
          <w:rFonts w:ascii="Arial" w:cs="Arial" w:eastAsia="Arial" w:hAnsi="Arial"/>
          <w:b/>
          <w:bCs/>
          <w:color w:val="1A3A5C"/>
          <w:sz w:val="28"/>
          <w:szCs w:val="28"/>
        </w:rPr>
        <w:t xml:space="preserve">1.2 Event Flow — Anomaly Detection to Dashboard Update</w:t>
      </w:r>
    </w:p>
    <w:p>
      <w:pPr>
        <w:spacing w:before="80" w:after="80"/>
      </w:pPr>
      <w:r>
        <w:rPr>
          <w:rFonts w:ascii="Arial" w:cs="Arial" w:eastAsia="Arial" w:hAnsi="Arial"/>
          <w:color w:val="1A1A2E"/>
          <w:sz w:val="22"/>
          <w:szCs w:val="22"/>
        </w:rPr>
        <w:t xml:space="preserve">The critical interdependency gap from V10.3 is closed by the event bus. Previously, anomaly records were written but the dashboard cache was never invalidated, so users saw stale health scores for up to 6 hours.</w:t>
      </w:r>
    </w:p>
    <w:p>
      <w:pPr>
        <w:spacing w:before="160" w:after="0"/>
      </w:pPr>
    </w:p>
    <w:tbl>
      <w:tblPr>
        <w:tblW w:type="dxa" w:w="10080"/>
        <w:tblBorders>
          <w:top w:val="single" w:color="auto" w:sz="4"/>
          <w:start w:val="single" w:color="auto" w:sz="4"/>
          <w:bottom w:val="single" w:color="auto" w:sz="4"/>
          <w:end w:val="single" w:color="auto" w:sz="4"/>
          <w:insideH w:val="single" w:color="auto" w:sz="4"/>
          <w:insideV w:val="single" w:color="auto" w:sz="4"/>
        </w:tblBorders>
      </w:tblPr>
      <w:tblGrid>
        <w:gridCol w:w="400"/>
        <w:gridCol w:w="2500"/>
        <w:gridCol w:w="2800"/>
        <w:gridCol w:w="3380"/>
      </w:tblGrid>
      <w:tr>
        <w:trPr>
          <w:tblHeader/>
        </w:trPr>
        <w:tc>
          <w:tcPr>
            <w:tcW w:type="dxa" w:w="40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Step</w:t>
            </w:r>
          </w:p>
        </w:tc>
        <w:tc>
          <w:tcPr>
            <w:tcW w:type="dxa" w:w="250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Event</w:t>
            </w:r>
          </w:p>
        </w:tc>
        <w:tc>
          <w:tcPr>
            <w:tcW w:type="dxa" w:w="280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Handler</w:t>
            </w:r>
          </w:p>
        </w:tc>
        <w:tc>
          <w:tcPr>
            <w:tcW w:type="dxa" w:w="338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Effect</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1</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Transaction written to DB</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AnomalyEngine.runAllSignals()</w:t>
            </w:r>
          </w:p>
        </w:tc>
        <w:tc>
          <w:tcPr>
            <w:tcW w:type="dxa" w:w="33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Evaluates 9 anomaly signal patterns</w:t>
            </w:r>
          </w:p>
        </w:tc>
      </w:tr>
      <w:tr>
        <w:tc>
          <w:tcPr>
            <w:tcW w:type="dxa" w:w="4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2</w:t>
            </w:r>
          </w:p>
        </w:tc>
        <w:tc>
          <w:tcPr>
            <w:tcW w:type="dxa" w:w="25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AnomalyRecord created</w:t>
            </w:r>
          </w:p>
        </w:tc>
        <w:tc>
          <w:tcPr>
            <w:tcW w:type="dxa" w:w="28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eventBus.emit("anomaly.detected")</w:t>
            </w:r>
          </w:p>
        </w:tc>
        <w:tc>
          <w:tcPr>
            <w:tcW w:type="dxa" w:w="33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Fires with userId, severity, signal</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3</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Cache invalidation</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redis.del(dashboard:composite:v1:userId)</w:t>
            </w:r>
          </w:p>
        </w:tc>
        <w:tc>
          <w:tcPr>
            <w:tcW w:type="dxa" w:w="33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Next dashboard fetch is live, not cached</w:t>
            </w:r>
          </w:p>
        </w:tc>
      </w:tr>
      <w:tr>
        <w:tc>
          <w:tcPr>
            <w:tcW w:type="dxa" w:w="4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4</w:t>
            </w:r>
          </w:p>
        </w:tc>
        <w:tc>
          <w:tcPr>
            <w:tcW w:type="dxa" w:w="25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Severity = HIGH or CRITICAL</w:t>
            </w:r>
          </w:p>
        </w:tc>
        <w:tc>
          <w:tcPr>
            <w:tcW w:type="dxa" w:w="28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runTaxHealthSnapshot(userId)</w:t>
            </w:r>
          </w:p>
        </w:tc>
        <w:tc>
          <w:tcPr>
            <w:tcW w:type="dxa" w:w="33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Immediate snapshot recompute (no 6h wait)</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4b</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Severity = HIGH or CRITICAL</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sendAnomalyNotification()</w:t>
            </w:r>
          </w:p>
        </w:tc>
        <w:tc>
          <w:tcPr>
            <w:tcW w:type="dxa" w:w="33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Push notification queued via expo-server-sdk</w:t>
            </w:r>
          </w:p>
        </w:tc>
      </w:tr>
      <w:tr>
        <w:tc>
          <w:tcPr>
            <w:tcW w:type="dxa" w:w="4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5</w:t>
            </w:r>
          </w:p>
        </w:tc>
        <w:tc>
          <w:tcPr>
            <w:tcW w:type="dxa" w:w="25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All severities</w:t>
            </w:r>
          </w:p>
        </w:tc>
        <w:tc>
          <w:tcPr>
            <w:tcW w:type="dxa" w:w="28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writeAuditLog()</w:t>
            </w:r>
          </w:p>
        </w:tc>
        <w:tc>
          <w:tcPr>
            <w:tcW w:type="dxa" w:w="33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Immutable append-only record (NDPC §30)</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6</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Mobile pull-to-refresh</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GET /api/v1/dashboard</w:t>
            </w:r>
          </w:p>
        </w:tc>
        <w:tc>
          <w:tcPr>
            <w:tcW w:type="dxa" w:w="33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Fresh composite data; gauge animates to new score</w:t>
            </w:r>
          </w:p>
        </w:tc>
      </w:tr>
    </w:tbl>
    <w:p>
      <w:r>
        <w:br w:type="page"/>
      </w:r>
    </w:p>
    <w:p>
      <w:pPr>
        <w:pStyle w:val="Heading1"/>
        <w:spacing w:before="400" w:after="200"/>
      </w:pPr>
      <w:r>
        <w:rPr>
          <w:rFonts w:ascii="Arial" w:cs="Arial" w:eastAsia="Arial" w:hAnsi="Arial"/>
          <w:b/>
          <w:bCs/>
          <w:color w:val="0A2540"/>
          <w:sz w:val="36"/>
          <w:szCs w:val="36"/>
        </w:rPr>
        <w:t xml:space="preserve">2. NTA 2025 Canonical Constants</w:t>
      </w:r>
    </w:p>
    <w:p>
      <w:pPr>
        <w:pBdr>
          <w:left w:val="single" w:color="DC2626" w:sz="16" w:space="4"/>
        </w:pBdr>
        <w:shd w:fill="FAFAFA" w:val="clear"/>
        <w:spacing w:before="120" w:after="120"/>
        <w:ind w:left="360"/>
      </w:pPr>
      <w:r>
        <w:rPr>
          <w:rFonts w:ascii="Arial" w:cs="Arial" w:eastAsia="Arial" w:hAnsi="Arial"/>
          <w:sz w:val="22"/>
          <w:szCs w:val="22"/>
        </w:rPr>
        <w:t xml:space="preserve">⚠️  </w:t>
      </w:r>
      <w:r>
        <w:rPr>
          <w:rFonts w:ascii="Arial" w:cs="Arial" w:eastAsia="Arial" w:hAnsi="Arial"/>
          <w:b/>
          <w:bCs/>
          <w:color w:val="0A2540"/>
          <w:sz w:val="22"/>
          <w:szCs w:val="22"/>
        </w:rPr>
        <w:t xml:space="preserve">Single Source of Truth:  </w:t>
      </w:r>
      <w:r>
        <w:rPr>
          <w:rFonts w:ascii="Arial" w:cs="Arial" w:eastAsia="Arial" w:hAnsi="Arial"/>
          <w:color w:val="1A1A2E"/>
          <w:sz w:val="22"/>
          <w:szCs w:val="22"/>
        </w:rPr>
        <w:t xml:space="preserve">packages/contracts/src/constants.ts — all tax math imports from @taxbridge/contracts. Zero inline calculation anywhere in backend/ or mobile/.</w:t>
      </w:r>
    </w:p>
    <w:p>
      <w:pPr>
        <w:spacing w:before="200" w:after="0"/>
      </w:pPr>
    </w:p>
    <w:p>
      <w:pPr>
        <w:pStyle w:val="Heading2"/>
        <w:spacing w:before="300" w:after="140"/>
      </w:pPr>
      <w:r>
        <w:rPr>
          <w:rFonts w:ascii="Arial" w:cs="Arial" w:eastAsia="Arial" w:hAnsi="Arial"/>
          <w:b/>
          <w:bCs/>
          <w:color w:val="1A3A5C"/>
          <w:sz w:val="28"/>
          <w:szCs w:val="28"/>
        </w:rPr>
        <w:t xml:space="preserve">2.1 PIT Bands (NTA 2025 §33)</w:t>
      </w:r>
    </w:p>
    <w:p>
      <w:pPr>
        <w:pBdr>
          <w:left w:val="single" w:color="DC2626" w:sz="16" w:space="4"/>
        </w:pBdr>
        <w:shd w:fill="FAFAFA" w:val="clear"/>
        <w:spacing w:before="120" w:after="120"/>
        <w:ind w:left="360"/>
      </w:pPr>
      <w:r>
        <w:rPr>
          <w:rFonts w:ascii="Arial" w:cs="Arial" w:eastAsia="Arial" w:hAnsi="Arial"/>
          <w:sz w:val="22"/>
          <w:szCs w:val="22"/>
        </w:rPr>
        <w:t xml:space="preserve">🚫  </w:t>
      </w:r>
      <w:r>
        <w:rPr>
          <w:rFonts w:ascii="Arial" w:cs="Arial" w:eastAsia="Arial" w:hAnsi="Arial"/>
          <w:b/>
          <w:bCs/>
          <w:color w:val="0A2540"/>
          <w:sz w:val="22"/>
          <w:szCs w:val="22"/>
        </w:rPr>
        <w:t xml:space="preserve">Abolished:  </w:t>
      </w:r>
      <w:r>
        <w:rPr>
          <w:rFonts w:ascii="Arial" w:cs="Arial" w:eastAsia="Arial" w:hAnsi="Arial"/>
          <w:color w:val="1A1A2E"/>
          <w:sz w:val="22"/>
          <w:szCs w:val="22"/>
        </w:rPr>
        <w:t xml:space="preserve">CRA formula (max(₦200k,1%×gross)+20%×gross) and Individual Minimum Tax (1% of gross) are permanently deleted. The 15% minimum ETR applies ONLY to corporate MNE entities, never individuals.</w:t>
      </w:r>
    </w:p>
    <w:p>
      <w:pPr>
        <w:spacing w:before="160" w:after="0"/>
      </w:pPr>
    </w:p>
    <w:tbl>
      <w:tblPr>
        <w:tblW w:type="dxa" w:w="10080"/>
        <w:tblBorders>
          <w:top w:val="single" w:color="auto" w:sz="4"/>
          <w:start w:val="single" w:color="auto" w:sz="4"/>
          <w:bottom w:val="single" w:color="auto" w:sz="4"/>
          <w:end w:val="single" w:color="auto" w:sz="4"/>
          <w:insideH w:val="single" w:color="auto" w:sz="4"/>
          <w:insideV w:val="single" w:color="auto" w:sz="4"/>
        </w:tblBorders>
      </w:tblPr>
      <w:tblGrid>
        <w:gridCol w:w="700"/>
        <w:gridCol w:w="2500"/>
        <w:gridCol w:w="800"/>
        <w:gridCol w:w="2000"/>
        <w:gridCol w:w="3080"/>
      </w:tblGrid>
      <w:tr>
        <w:trPr>
          <w:tblHeader/>
        </w:trPr>
        <w:tc>
          <w:tcPr>
            <w:tcW w:type="dxa" w:w="70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Band</w:t>
            </w:r>
          </w:p>
        </w:tc>
        <w:tc>
          <w:tcPr>
            <w:tcW w:type="dxa" w:w="250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Income Range</w:t>
            </w:r>
          </w:p>
        </w:tc>
        <w:tc>
          <w:tcPr>
            <w:tcW w:type="dxa" w:w="80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Rate</w:t>
            </w:r>
          </w:p>
        </w:tc>
        <w:tc>
          <w:tcPr>
            <w:tcW w:type="dxa" w:w="200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V10.2 (WRONG)</w:t>
            </w:r>
          </w:p>
        </w:tc>
        <w:tc>
          <w:tcPr>
            <w:tcW w:type="dxa" w:w="308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Change</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1</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₦0 – ₦800,000</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0%</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7% on ₦300k</w:t>
            </w:r>
          </w:p>
        </w:tc>
        <w:tc>
          <w:tcPr>
            <w:tcW w:type="dxa" w:w="3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Band widened 2.7×, fully exempt</w:t>
            </w:r>
          </w:p>
        </w:tc>
      </w:tr>
      <w:tr>
        <w:tc>
          <w:tcPr>
            <w:tcW w:type="dxa" w:w="7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2</w:t>
            </w:r>
          </w:p>
        </w:tc>
        <w:tc>
          <w:tcPr>
            <w:tcW w:type="dxa" w:w="25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₦800,001 – ₦3,000,000</w:t>
            </w:r>
          </w:p>
        </w:tc>
        <w:tc>
          <w:tcPr>
            <w:tcW w:type="dxa" w:w="8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15%</w:t>
            </w:r>
          </w:p>
        </w:tc>
        <w:tc>
          <w:tcPr>
            <w:tcW w:type="dxa" w:w="20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11%</w:t>
            </w:r>
          </w:p>
        </w:tc>
        <w:tc>
          <w:tcPr>
            <w:tcW w:type="dxa" w:w="30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+4 percentage points</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3</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₦3,000,001 – ₦12,000,000</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18%</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15%</w:t>
            </w:r>
          </w:p>
        </w:tc>
        <w:tc>
          <w:tcPr>
            <w:tcW w:type="dxa" w:w="3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+3 percentage points</w:t>
            </w:r>
          </w:p>
        </w:tc>
      </w:tr>
      <w:tr>
        <w:tc>
          <w:tcPr>
            <w:tcW w:type="dxa" w:w="7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4</w:t>
            </w:r>
          </w:p>
        </w:tc>
        <w:tc>
          <w:tcPr>
            <w:tcW w:type="dxa" w:w="25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₦12,000,001 – ₦25,000,000</w:t>
            </w:r>
          </w:p>
        </w:tc>
        <w:tc>
          <w:tcPr>
            <w:tcW w:type="dxa" w:w="8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21%</w:t>
            </w:r>
          </w:p>
        </w:tc>
        <w:tc>
          <w:tcPr>
            <w:tcW w:type="dxa" w:w="20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19%</w:t>
            </w:r>
          </w:p>
        </w:tc>
        <w:tc>
          <w:tcPr>
            <w:tcW w:type="dxa" w:w="30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+2 percentage points</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5</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₦25,000,001 – ₦50,000,000</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23%</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21%</w:t>
            </w:r>
          </w:p>
        </w:tc>
        <w:tc>
          <w:tcPr>
            <w:tcW w:type="dxa" w:w="3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+2 percentage points</w:t>
            </w:r>
          </w:p>
        </w:tc>
      </w:tr>
      <w:tr>
        <w:tc>
          <w:tcPr>
            <w:tcW w:type="dxa" w:w="7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6</w:t>
            </w:r>
          </w:p>
        </w:tc>
        <w:tc>
          <w:tcPr>
            <w:tcW w:type="dxa" w:w="25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Above ₦50,000,000</w:t>
            </w:r>
          </w:p>
        </w:tc>
        <w:tc>
          <w:tcPr>
            <w:tcW w:type="dxa" w:w="8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25%</w:t>
            </w:r>
          </w:p>
        </w:tc>
        <w:tc>
          <w:tcPr>
            <w:tcW w:type="dxa" w:w="20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24%</w:t>
            </w:r>
          </w:p>
        </w:tc>
        <w:tc>
          <w:tcPr>
            <w:tcW w:type="dxa" w:w="30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+1 percentage point</w:t>
            </w:r>
          </w:p>
        </w:tc>
      </w:tr>
    </w:tbl>
    <w:p>
      <w:pPr>
        <w:spacing w:before="200" w:after="0"/>
      </w:pPr>
    </w:p>
    <w:p>
      <w:pPr>
        <w:pStyle w:val="Heading2"/>
        <w:spacing w:before="300" w:after="140"/>
      </w:pPr>
      <w:r>
        <w:rPr>
          <w:rFonts w:ascii="Arial" w:cs="Arial" w:eastAsia="Arial" w:hAnsi="Arial"/>
          <w:b/>
          <w:bCs/>
          <w:color w:val="1A3A5C"/>
          <w:sz w:val="28"/>
          <w:szCs w:val="28"/>
        </w:rPr>
        <w:t xml:space="preserve">2.2 Other Tax Rates</w:t>
      </w:r>
    </w:p>
    <w:tbl>
      <w:tblPr>
        <w:tblW w:type="dxa" w:w="10080"/>
        <w:tblBorders>
          <w:top w:val="single" w:color="auto" w:sz="4"/>
          <w:start w:val="single" w:color="auto" w:sz="4"/>
          <w:bottom w:val="single" w:color="auto" w:sz="4"/>
          <w:end w:val="single" w:color="auto" w:sz="4"/>
          <w:insideH w:val="single" w:color="auto" w:sz="4"/>
          <w:insideV w:val="single" w:color="auto" w:sz="4"/>
        </w:tblBorders>
      </w:tblPr>
      <w:tblGrid>
        <w:gridCol w:w="2000"/>
        <w:gridCol w:w="1400"/>
        <w:gridCol w:w="3000"/>
        <w:gridCol w:w="2680"/>
      </w:tblGrid>
      <w:tr>
        <w:trPr>
          <w:tblHeader/>
        </w:trPr>
        <w:tc>
          <w:tcPr>
            <w:tcW w:type="dxa" w:w="200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Tax</w:t>
            </w:r>
          </w:p>
        </w:tc>
        <w:tc>
          <w:tcPr>
            <w:tcW w:type="dxa" w:w="140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Rate</w:t>
            </w:r>
          </w:p>
        </w:tc>
        <w:tc>
          <w:tcPr>
            <w:tcW w:type="dxa" w:w="300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Key Change vs V10.2</w:t>
            </w:r>
          </w:p>
        </w:tc>
        <w:tc>
          <w:tcPr>
            <w:tcW w:type="dxa" w:w="268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Applies To</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VAT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7.5%</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Registration threshold: ₦25M (was ₦100M)</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Mandatory at ≥₦25M annual turnover</w:t>
            </w:r>
          </w:p>
        </w:tc>
      </w:tr>
      <w:tr>
        <w:tc>
          <w:tcPr>
            <w:tcW w:type="dxa" w:w="20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WHT Professional</w:t>
            </w:r>
          </w:p>
        </w:tc>
        <w:tc>
          <w:tcPr>
            <w:tcW w:type="dxa" w:w="14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10%</w:t>
            </w:r>
          </w:p>
        </w:tc>
        <w:tc>
          <w:tcPr>
            <w:tcW w:type="dxa" w:w="30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Was incorrectly listed as 5% in V10.2</w:t>
            </w:r>
          </w:p>
        </w:tc>
        <w:tc>
          <w:tcPr>
            <w:tcW w:type="dxa" w:w="26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Consultancy, professional fees, agency</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WHT Construction</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5%</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Only WHT category at 5%</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Construction contracts only</w:t>
            </w:r>
          </w:p>
        </w:tc>
      </w:tr>
      <w:tr>
        <w:tc>
          <w:tcPr>
            <w:tcW w:type="dxa" w:w="20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WHT Non-resident</w:t>
            </w:r>
          </w:p>
        </w:tc>
        <w:tc>
          <w:tcPr>
            <w:tcW w:type="dxa" w:w="14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4% flat</w:t>
            </w:r>
          </w:p>
        </w:tc>
        <w:tc>
          <w:tcPr>
            <w:tcW w:type="dxa" w:w="30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Unchanged</w:t>
            </w:r>
          </w:p>
        </w:tc>
        <w:tc>
          <w:tcPr>
            <w:tcW w:type="dxa" w:w="26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Nigerian-source income, no NRS WHT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CIT Small Co.</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0%</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Threshold raised: ₦100M (was ₦25M)</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Turnover ≤₦100M AND fixed assets &lt;₦250M</w:t>
            </w:r>
          </w:p>
        </w:tc>
      </w:tr>
      <w:tr>
        <w:tc>
          <w:tcPr>
            <w:tcW w:type="dxa" w:w="20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CIT Large Co.</w:t>
            </w:r>
          </w:p>
        </w:tc>
        <w:tc>
          <w:tcPr>
            <w:tcW w:type="dxa" w:w="14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30%</w:t>
            </w:r>
          </w:p>
        </w:tc>
        <w:tc>
          <w:tcPr>
            <w:tcW w:type="dxa" w:w="30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Medium 20% band abolished</w:t>
            </w:r>
          </w:p>
        </w:tc>
        <w:tc>
          <w:tcPr>
            <w:tcW w:type="dxa" w:w="26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Turnover &gt;₦100M</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Dev Levy</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4%</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Replaces TET + NITDA + NASENI + Police Trust Fund</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Of assessable profits (large companies)</w:t>
            </w:r>
          </w:p>
        </w:tc>
      </w:tr>
      <w:tr>
        <w:tc>
          <w:tcPr>
            <w:tcW w:type="dxa" w:w="20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CGT Individuals</w:t>
            </w:r>
          </w:p>
        </w:tc>
        <w:tc>
          <w:tcPr>
            <w:tcW w:type="dxa" w:w="14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PIT rate</w:t>
            </w:r>
          </w:p>
        </w:tc>
        <w:tc>
          <w:tcPr>
            <w:tcW w:type="dxa" w:w="30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Gains taxed at applicable PIT band</w:t>
            </w:r>
          </w:p>
        </w:tc>
        <w:tc>
          <w:tcPr>
            <w:tcW w:type="dxa" w:w="26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Integrated into income tax</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CGT Companies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30%</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Raised from 10%</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Company capital gains</w:t>
            </w:r>
          </w:p>
        </w:tc>
      </w:tr>
      <w:tr>
        <w:tc>
          <w:tcPr>
            <w:tcW w:type="dxa" w:w="20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RRA</w:t>
            </w:r>
          </w:p>
        </w:tc>
        <w:tc>
          <w:tcPr>
            <w:tcW w:type="dxa" w:w="14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min(20% × rent, ₦500k)</w:t>
            </w:r>
          </w:p>
        </w:tc>
        <w:tc>
          <w:tcPr>
            <w:tcW w:type="dxa" w:w="30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Replaces abolished CRA</w:t>
            </w:r>
          </w:p>
        </w:tc>
        <w:tc>
          <w:tcPr>
            <w:tcW w:type="dxa" w:w="26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Annual rent paid, receipts required</w:t>
            </w:r>
          </w:p>
        </w:tc>
      </w:tr>
    </w:tbl>
    <w:p>
      <w:pPr>
        <w:spacing w:before="200" w:after="0"/>
      </w:pPr>
    </w:p>
    <w:p>
      <w:pPr>
        <w:pStyle w:val="Heading2"/>
        <w:spacing w:before="300" w:after="140"/>
      </w:pPr>
      <w:r>
        <w:rPr>
          <w:rFonts w:ascii="Arial" w:cs="Arial" w:eastAsia="Arial" w:hAnsi="Arial"/>
          <w:b/>
          <w:bCs/>
          <w:color w:val="1A3A5C"/>
          <w:sz w:val="28"/>
          <w:szCs w:val="28"/>
        </w:rPr>
        <w:t xml:space="preserve">2.3 WHT Small Company Exemption</w:t>
      </w:r>
    </w:p>
    <w:p>
      <w:pPr>
        <w:pBdr>
          <w:left w:val="single" w:color="1DB954" w:sz="16" w:space="4"/>
        </w:pBdr>
        <w:shd w:fill="FAFAFA" w:val="clear"/>
        <w:spacing w:before="120" w:after="120"/>
        <w:ind w:left="360"/>
      </w:pPr>
      <w:r>
        <w:rPr>
          <w:rFonts w:ascii="Arial" w:cs="Arial" w:eastAsia="Arial" w:hAnsi="Arial"/>
          <w:sz w:val="22"/>
          <w:szCs w:val="22"/>
        </w:rPr>
        <w:t xml:space="preserve">✓  </w:t>
      </w:r>
      <w:r>
        <w:rPr>
          <w:rFonts w:ascii="Arial" w:cs="Arial" w:eastAsia="Arial" w:hAnsi="Arial"/>
          <w:b/>
          <w:bCs/>
          <w:color w:val="0A2540"/>
          <w:sz w:val="22"/>
          <w:szCs w:val="22"/>
        </w:rPr>
        <w:t xml:space="preserve">BOTH conditions required simultaneously:  </w:t>
      </w:r>
      <w:r>
        <w:rPr>
          <w:rFonts w:ascii="Arial" w:cs="Arial" w:eastAsia="Arial" w:hAnsi="Arial"/>
          <w:color w:val="1A1A2E"/>
          <w:sz w:val="22"/>
          <w:szCs w:val="22"/>
        </w:rPr>
        <w:t xml:space="preserve">(a) Valid TIN on file, AND (b) total transaction value in the calendar month ≤ ₦2,000,000. Filing deadline: 21st of the following month.</w:t>
      </w:r>
    </w:p>
    <w:p>
      <w:r>
        <w:br w:type="page"/>
      </w:r>
    </w:p>
    <w:p>
      <w:pPr>
        <w:pStyle w:val="Heading1"/>
        <w:spacing w:before="400" w:after="200"/>
      </w:pPr>
      <w:r>
        <w:rPr>
          <w:rFonts w:ascii="Arial" w:cs="Arial" w:eastAsia="Arial" w:hAnsi="Arial"/>
          <w:b/>
          <w:bCs/>
          <w:color w:val="0A2540"/>
          <w:sz w:val="36"/>
          <w:szCs w:val="36"/>
        </w:rPr>
        <w:t xml:space="preserve">3. New Module Specifications (V11.0)</w:t>
      </w:r>
    </w:p>
    <w:p>
      <w:pPr>
        <w:pStyle w:val="Heading2"/>
        <w:spacing w:before="300" w:after="140"/>
      </w:pPr>
      <w:r>
        <w:rPr>
          <w:rFonts w:ascii="Arial" w:cs="Arial" w:eastAsia="Arial" w:hAnsi="Arial"/>
          <w:b/>
          <w:bCs/>
          <w:color w:val="1A3A5C"/>
          <w:sz w:val="28"/>
          <w:szCs w:val="28"/>
        </w:rPr>
        <w:t xml:space="preserve">3.1 MOD-28 — RBAC Enforcement Layer</w:t>
      </w:r>
    </w:p>
    <w:p>
      <w:pPr>
        <w:spacing w:before="80" w:after="80"/>
      </w:pPr>
      <w:r>
        <w:rPr>
          <w:rFonts w:ascii="Arial" w:cs="Arial" w:eastAsia="Arial" w:hAnsi="Arial"/>
          <w:color w:val="1A1A2E"/>
          <w:sz w:val="22"/>
          <w:szCs w:val="22"/>
        </w:rPr>
        <w:t xml:space="preserve">Closes the most critical gap in V10.3: role-based access was defined in schema but never enforced at runtime. Every API endpoint now validates the caller's role before executing, logs denials to the immutable AuditLog, and propagates role changes to active sessions.</w:t>
      </w:r>
    </w:p>
    <w:p>
      <w:pPr>
        <w:spacing w:before="160" w:after="0"/>
      </w:pPr>
    </w:p>
    <w:p>
      <w:pPr>
        <w:pStyle w:val="Heading3"/>
        <w:spacing w:before="240" w:after="100"/>
      </w:pPr>
      <w:r>
        <w:rPr>
          <w:rFonts w:ascii="Arial" w:cs="Arial" w:eastAsia="Arial" w:hAnsi="Arial"/>
          <w:b/>
          <w:bCs/>
          <w:color w:val="0A2540"/>
          <w:sz w:val="24"/>
          <w:szCs w:val="24"/>
        </w:rPr>
        <w:t xml:space="preserve">Role Hierarchy Matrix</w:t>
      </w:r>
    </w:p>
    <w:tbl>
      <w:tblPr>
        <w:tblW w:type="dxa" w:w="10080"/>
        <w:tblBorders>
          <w:top w:val="single" w:color="auto" w:sz="4"/>
          <w:start w:val="single" w:color="auto" w:sz="4"/>
          <w:bottom w:val="single" w:color="auto" w:sz="4"/>
          <w:end w:val="single" w:color="auto" w:sz="4"/>
          <w:insideH w:val="single" w:color="auto" w:sz="4"/>
          <w:insideV w:val="single" w:color="auto" w:sz="4"/>
        </w:tblBorders>
      </w:tblPr>
      <w:tblGrid>
        <w:gridCol w:w="3000"/>
        <w:gridCol w:w="1080"/>
        <w:gridCol w:w="1080"/>
        <w:gridCol w:w="1400"/>
        <w:gridCol w:w="1300"/>
        <w:gridCol w:w="1140"/>
      </w:tblGrid>
      <w:tr>
        <w:trPr>
          <w:tblHeader/>
        </w:trPr>
        <w:tc>
          <w:tcPr>
            <w:tcW w:type="dxa" w:w="300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Resource</w:t>
            </w:r>
          </w:p>
        </w:tc>
        <w:tc>
          <w:tcPr>
            <w:tcW w:type="dxa" w:w="108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admin</w:t>
            </w:r>
          </w:p>
        </w:tc>
        <w:tc>
          <w:tcPr>
            <w:tcW w:type="dxa" w:w="108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owner</w:t>
            </w:r>
          </w:p>
        </w:tc>
        <w:tc>
          <w:tcPr>
            <w:tcW w:type="dxa" w:w="140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accountant</w:t>
            </w:r>
          </w:p>
        </w:tc>
        <w:tc>
          <w:tcPr>
            <w:tcW w:type="dxa" w:w="130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employee</w:t>
            </w:r>
          </w:p>
        </w:tc>
        <w:tc>
          <w:tcPr>
            <w:tcW w:type="dxa" w:w="114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viewer</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Dashboard read</w:t>
            </w:r>
          </w:p>
        </w:tc>
        <w:tc>
          <w:tcPr>
            <w:tcW w:type="dxa" w:w="1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bCs/>
                <w:color w:val="1A1A2E"/>
                <w:sz w:val="20"/>
                <w:szCs w:val="20"/>
              </w:rPr>
              <w:t xml:space="preserve">✓</w:t>
            </w:r>
          </w:p>
        </w:tc>
        <w:tc>
          <w:tcPr>
            <w:tcW w:type="dxa" w:w="1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bCs/>
                <w:color w:val="1A1A2E"/>
                <w:sz w:val="20"/>
                <w:szCs w:val="20"/>
              </w:rPr>
              <w:t xml:space="preserv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bCs/>
                <w:color w:val="1A1A2E"/>
                <w:sz w:val="20"/>
                <w:szCs w:val="20"/>
              </w:rPr>
              <w:t xml:space="preserve">✓</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bCs/>
                <w:color w:val="1A1A2E"/>
                <w:sz w:val="20"/>
                <w:szCs w:val="20"/>
              </w:rPr>
              <w:t xml:space="preserve">✓</w:t>
            </w:r>
          </w:p>
        </w:tc>
        <w:tc>
          <w:tcPr>
            <w:tcW w:type="dxa" w:w="11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bCs/>
                <w:color w:val="1A1A2E"/>
                <w:sz w:val="20"/>
                <w:szCs w:val="20"/>
              </w:rPr>
              <w:t xml:space="preserve">✓</w:t>
            </w:r>
          </w:p>
        </w:tc>
      </w:tr>
      <w:tr>
        <w:tc>
          <w:tcPr>
            <w:tcW w:type="dxa" w:w="30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Invoices read</w:t>
            </w:r>
          </w:p>
        </w:tc>
        <w:tc>
          <w:tcPr>
            <w:tcW w:type="dxa" w:w="10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bCs/>
                <w:color w:val="1A1A2E"/>
                <w:sz w:val="20"/>
                <w:szCs w:val="20"/>
              </w:rPr>
              <w:t xml:space="preserve">✓</w:t>
            </w:r>
          </w:p>
        </w:tc>
        <w:tc>
          <w:tcPr>
            <w:tcW w:type="dxa" w:w="10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bCs/>
                <w:color w:val="1A1A2E"/>
                <w:sz w:val="20"/>
                <w:szCs w:val="20"/>
              </w:rPr>
              <w:t xml:space="preserve">✓</w:t>
            </w:r>
          </w:p>
        </w:tc>
        <w:tc>
          <w:tcPr>
            <w:tcW w:type="dxa" w:w="14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bCs/>
                <w:color w:val="1A1A2E"/>
                <w:sz w:val="20"/>
                <w:szCs w:val="20"/>
              </w:rPr>
              <w:t xml:space="preserve">✓</w:t>
            </w:r>
          </w:p>
        </w:tc>
        <w:tc>
          <w:tcPr>
            <w:tcW w:type="dxa" w:w="13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bCs/>
                <w:color w:val="1A1A2E"/>
                <w:sz w:val="20"/>
                <w:szCs w:val="20"/>
              </w:rPr>
              <w:t xml:space="preserve">✓</w:t>
            </w:r>
          </w:p>
        </w:tc>
        <w:tc>
          <w:tcPr>
            <w:tcW w:type="dxa" w:w="114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bCs/>
                <w:color w:val="1A1A2E"/>
                <w:sz w:val="20"/>
                <w:szCs w:val="20"/>
              </w:rPr>
              <w:t xml:space="preserv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Invoices create/edit</w:t>
            </w:r>
          </w:p>
        </w:tc>
        <w:tc>
          <w:tcPr>
            <w:tcW w:type="dxa" w:w="1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bCs/>
                <w:color w:val="1A1A2E"/>
                <w:sz w:val="20"/>
                <w:szCs w:val="20"/>
              </w:rPr>
              <w:t xml:space="preserve">✓</w:t>
            </w:r>
          </w:p>
        </w:tc>
        <w:tc>
          <w:tcPr>
            <w:tcW w:type="dxa" w:w="1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bCs/>
                <w:color w:val="1A1A2E"/>
                <w:sz w:val="20"/>
                <w:szCs w:val="20"/>
              </w:rPr>
              <w:t xml:space="preserv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bCs/>
                <w:color w:val="1A1A2E"/>
                <w:sz w:val="20"/>
                <w:szCs w:val="20"/>
              </w:rPr>
              <w:t xml:space="preserve">✓</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bCs/>
                <w:color w:val="1A1A2E"/>
                <w:sz w:val="20"/>
                <w:szCs w:val="20"/>
              </w:rPr>
              <w:t xml:space="preserve">✓</w:t>
            </w:r>
          </w:p>
        </w:tc>
        <w:tc>
          <w:tcPr>
            <w:tcW w:type="dxa" w:w="11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w:t>
            </w:r>
          </w:p>
        </w:tc>
      </w:tr>
      <w:tr>
        <w:tc>
          <w:tcPr>
            <w:tcW w:type="dxa" w:w="30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Expenses create/edit</w:t>
            </w:r>
          </w:p>
        </w:tc>
        <w:tc>
          <w:tcPr>
            <w:tcW w:type="dxa" w:w="10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bCs/>
                <w:color w:val="1A1A2E"/>
                <w:sz w:val="20"/>
                <w:szCs w:val="20"/>
              </w:rPr>
              <w:t xml:space="preserve">✓</w:t>
            </w:r>
          </w:p>
        </w:tc>
        <w:tc>
          <w:tcPr>
            <w:tcW w:type="dxa" w:w="10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bCs/>
                <w:color w:val="1A1A2E"/>
                <w:sz w:val="20"/>
                <w:szCs w:val="20"/>
              </w:rPr>
              <w:t xml:space="preserve">✓</w:t>
            </w:r>
          </w:p>
        </w:tc>
        <w:tc>
          <w:tcPr>
            <w:tcW w:type="dxa" w:w="14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bCs/>
                <w:color w:val="1A1A2E"/>
                <w:sz w:val="20"/>
                <w:szCs w:val="20"/>
              </w:rPr>
              <w:t xml:space="preserve">✓</w:t>
            </w:r>
          </w:p>
        </w:tc>
        <w:tc>
          <w:tcPr>
            <w:tcW w:type="dxa" w:w="13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bCs/>
                <w:color w:val="1A1A2E"/>
                <w:sz w:val="20"/>
                <w:szCs w:val="20"/>
              </w:rPr>
              <w:t xml:space="preserve">✓</w:t>
            </w:r>
          </w:p>
        </w:tc>
        <w:tc>
          <w:tcPr>
            <w:tcW w:type="dxa" w:w="114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Payroll run</w:t>
            </w:r>
          </w:p>
        </w:tc>
        <w:tc>
          <w:tcPr>
            <w:tcW w:type="dxa" w:w="1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bCs/>
                <w:color w:val="1A1A2E"/>
                <w:sz w:val="20"/>
                <w:szCs w:val="20"/>
              </w:rPr>
              <w:t xml:space="preserve">✓</w:t>
            </w:r>
          </w:p>
        </w:tc>
        <w:tc>
          <w:tcPr>
            <w:tcW w:type="dxa" w:w="1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bCs/>
                <w:color w:val="1A1A2E"/>
                <w:sz w:val="20"/>
                <w:szCs w:val="20"/>
              </w:rPr>
              <w:t xml:space="preserv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bCs/>
                <w:color w:val="1A1A2E"/>
                <w:sz w:val="20"/>
                <w:szCs w:val="20"/>
              </w:rPr>
              <w:t xml:space="preserve">✓</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w:t>
            </w:r>
          </w:p>
        </w:tc>
        <w:tc>
          <w:tcPr>
            <w:tcW w:type="dxa" w:w="11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w:t>
            </w:r>
          </w:p>
        </w:tc>
      </w:tr>
      <w:tr>
        <w:tc>
          <w:tcPr>
            <w:tcW w:type="dxa" w:w="30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Tax filings submit</w:t>
            </w:r>
          </w:p>
        </w:tc>
        <w:tc>
          <w:tcPr>
            <w:tcW w:type="dxa" w:w="10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bCs/>
                <w:color w:val="1A1A2E"/>
                <w:sz w:val="20"/>
                <w:szCs w:val="20"/>
              </w:rPr>
              <w:t xml:space="preserve">✓</w:t>
            </w:r>
          </w:p>
        </w:tc>
        <w:tc>
          <w:tcPr>
            <w:tcW w:type="dxa" w:w="10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bCs/>
                <w:color w:val="1A1A2E"/>
                <w:sz w:val="20"/>
                <w:szCs w:val="20"/>
              </w:rPr>
              <w:t xml:space="preserve">✓</w:t>
            </w:r>
          </w:p>
        </w:tc>
        <w:tc>
          <w:tcPr>
            <w:tcW w:type="dxa" w:w="14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bCs/>
                <w:color w:val="1A1A2E"/>
                <w:sz w:val="20"/>
                <w:szCs w:val="20"/>
              </w:rPr>
              <w:t xml:space="preserve">✓</w:t>
            </w:r>
          </w:p>
        </w:tc>
        <w:tc>
          <w:tcPr>
            <w:tcW w:type="dxa" w:w="13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w:t>
            </w:r>
          </w:p>
        </w:tc>
        <w:tc>
          <w:tcPr>
            <w:tcW w:type="dxa" w:w="114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Documents vault</w:t>
            </w:r>
          </w:p>
        </w:tc>
        <w:tc>
          <w:tcPr>
            <w:tcW w:type="dxa" w:w="1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bCs/>
                <w:color w:val="1A1A2E"/>
                <w:sz w:val="20"/>
                <w:szCs w:val="20"/>
              </w:rPr>
              <w:t xml:space="preserve">✓</w:t>
            </w:r>
          </w:p>
        </w:tc>
        <w:tc>
          <w:tcPr>
            <w:tcW w:type="dxa" w:w="1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bCs/>
                <w:color w:val="1A1A2E"/>
                <w:sz w:val="20"/>
                <w:szCs w:val="20"/>
              </w:rPr>
              <w:t xml:space="preserv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bCs/>
                <w:color w:val="1A1A2E"/>
                <w:sz w:val="20"/>
                <w:szCs w:val="20"/>
              </w:rPr>
              <w:t xml:space="preserve">✓</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w:t>
            </w:r>
          </w:p>
        </w:tc>
        <w:tc>
          <w:tcPr>
            <w:tcW w:type="dxa" w:w="11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w:t>
            </w:r>
          </w:p>
        </w:tc>
      </w:tr>
      <w:tr>
        <w:tc>
          <w:tcPr>
            <w:tcW w:type="dxa" w:w="30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Team management</w:t>
            </w:r>
          </w:p>
        </w:tc>
        <w:tc>
          <w:tcPr>
            <w:tcW w:type="dxa" w:w="10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bCs/>
                <w:color w:val="1A1A2E"/>
                <w:sz w:val="20"/>
                <w:szCs w:val="20"/>
              </w:rPr>
              <w:t xml:space="preserve">✓</w:t>
            </w:r>
          </w:p>
        </w:tc>
        <w:tc>
          <w:tcPr>
            <w:tcW w:type="dxa" w:w="10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bCs/>
                <w:color w:val="1A1A2E"/>
                <w:sz w:val="20"/>
                <w:szCs w:val="20"/>
              </w:rPr>
              <w:t xml:space="preserve">✓</w:t>
            </w:r>
          </w:p>
        </w:tc>
        <w:tc>
          <w:tcPr>
            <w:tcW w:type="dxa" w:w="14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w:t>
            </w:r>
          </w:p>
        </w:tc>
        <w:tc>
          <w:tcPr>
            <w:tcW w:type="dxa" w:w="13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w:t>
            </w:r>
          </w:p>
        </w:tc>
        <w:tc>
          <w:tcPr>
            <w:tcW w:type="dxa" w:w="114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RBAC assign</w:t>
            </w:r>
          </w:p>
        </w:tc>
        <w:tc>
          <w:tcPr>
            <w:tcW w:type="dxa" w:w="1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bCs/>
                <w:color w:val="1A1A2E"/>
                <w:sz w:val="20"/>
                <w:szCs w:val="20"/>
              </w:rPr>
              <w:t xml:space="preserve">✓</w:t>
            </w:r>
          </w:p>
        </w:tc>
        <w:tc>
          <w:tcPr>
            <w:tcW w:type="dxa" w:w="1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bCs/>
                <w:color w:val="1A1A2E"/>
                <w:sz w:val="20"/>
                <w:szCs w:val="20"/>
              </w:rPr>
              <w:t xml:space="preserv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w:t>
            </w:r>
          </w:p>
        </w:tc>
        <w:tc>
          <w:tcPr>
            <w:tcW w:type="dxa" w:w="11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w:t>
            </w:r>
          </w:p>
        </w:tc>
      </w:tr>
      <w:tr>
        <w:tc>
          <w:tcPr>
            <w:tcW w:type="dxa" w:w="30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Audit log read</w:t>
            </w:r>
          </w:p>
        </w:tc>
        <w:tc>
          <w:tcPr>
            <w:tcW w:type="dxa" w:w="10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bCs/>
                <w:color w:val="1A1A2E"/>
                <w:sz w:val="20"/>
                <w:szCs w:val="20"/>
              </w:rPr>
              <w:t xml:space="preserve">✓</w:t>
            </w:r>
          </w:p>
        </w:tc>
        <w:tc>
          <w:tcPr>
            <w:tcW w:type="dxa" w:w="10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w:t>
            </w:r>
          </w:p>
        </w:tc>
        <w:tc>
          <w:tcPr>
            <w:tcW w:type="dxa" w:w="14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w:t>
            </w:r>
          </w:p>
        </w:tc>
        <w:tc>
          <w:tcPr>
            <w:tcW w:type="dxa" w:w="13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w:t>
            </w:r>
          </w:p>
        </w:tc>
        <w:tc>
          <w:tcPr>
            <w:tcW w:type="dxa" w:w="114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DLQ management</w:t>
            </w:r>
          </w:p>
        </w:tc>
        <w:tc>
          <w:tcPr>
            <w:tcW w:type="dxa" w:w="1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bCs/>
                <w:color w:val="1A1A2E"/>
                <w:sz w:val="20"/>
                <w:szCs w:val="20"/>
              </w:rPr>
              <w:t xml:space="preserve">✓</w:t>
            </w:r>
          </w:p>
        </w:tc>
        <w:tc>
          <w:tcPr>
            <w:tcW w:type="dxa" w:w="1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w:t>
            </w:r>
          </w:p>
        </w:tc>
        <w:tc>
          <w:tcPr>
            <w:tcW w:type="dxa" w:w="11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w:t>
            </w:r>
          </w:p>
        </w:tc>
      </w:tr>
      <w:tr>
        <w:tc>
          <w:tcPr>
            <w:tcW w:type="dxa" w:w="30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System / admin panel</w:t>
            </w:r>
          </w:p>
        </w:tc>
        <w:tc>
          <w:tcPr>
            <w:tcW w:type="dxa" w:w="10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bCs/>
                <w:color w:val="1A1A2E"/>
                <w:sz w:val="20"/>
                <w:szCs w:val="20"/>
              </w:rPr>
              <w:t xml:space="preserve">✓</w:t>
            </w:r>
          </w:p>
        </w:tc>
        <w:tc>
          <w:tcPr>
            <w:tcW w:type="dxa" w:w="10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w:t>
            </w:r>
          </w:p>
        </w:tc>
        <w:tc>
          <w:tcPr>
            <w:tcW w:type="dxa" w:w="14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w:t>
            </w:r>
          </w:p>
        </w:tc>
        <w:tc>
          <w:tcPr>
            <w:tcW w:type="dxa" w:w="13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w:t>
            </w:r>
          </w:p>
        </w:tc>
        <w:tc>
          <w:tcPr>
            <w:tcW w:type="dxa" w:w="114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w:t>
            </w:r>
          </w:p>
        </w:tc>
      </w:tr>
    </w:tbl>
    <w:p>
      <w:pPr>
        <w:spacing w:before="200" w:after="0"/>
      </w:pPr>
    </w:p>
    <w:p>
      <w:pPr>
        <w:pStyle w:val="Heading3"/>
        <w:spacing w:before="240" w:after="100"/>
      </w:pPr>
      <w:r>
        <w:rPr>
          <w:rFonts w:ascii="Arial" w:cs="Arial" w:eastAsia="Arial" w:hAnsi="Arial"/>
          <w:b/>
          <w:bCs/>
          <w:color w:val="0A2540"/>
          <w:sz w:val="24"/>
          <w:szCs w:val="24"/>
        </w:rPr>
        <w:t xml:space="preserve">Session Invalidation Contract</w:t>
      </w:r>
    </w:p>
    <w:p>
      <w:pPr>
        <w:spacing w:before="80" w:after="80"/>
      </w:pPr>
      <w:r>
        <w:rPr>
          <w:rFonts w:ascii="Arial" w:cs="Arial" w:eastAsia="Arial" w:hAnsi="Arial"/>
          <w:color w:val="1A1A2E"/>
          <w:sz w:val="22"/>
          <w:szCs w:val="22"/>
        </w:rPr>
        <w:t xml:space="preserve">Role changes must invalidate all active sessions for the affected user. The redis.setex() call uses a 90-day TTL matching the maximum JWT refresh token lifetime. Using redis.set() without a TTL is a memory leak — do not use it for role_version keys.</w:t>
      </w:r>
    </w:p>
    <w:p>
      <w:pPr>
        <w:pBdr>
          <w:left w:val="single" w:color="1A3A5C" w:sz="12" w:space="10"/>
        </w:pBdr>
        <w:shd w:fill="F1F5F9" w:val="clear"/>
        <w:spacing w:before="100" w:after="100"/>
        <w:ind w:left="360" w:right="360"/>
      </w:pPr>
      <w:r>
        <w:rPr>
          <w:rFonts w:ascii="Courier New" w:cs="Courier New" w:eastAsia="Courier New" w:hAnsi="Courier New"/>
          <w:color w:val="1E293B"/>
          <w:sz w:val="18"/>
          <w:szCs w:val="18"/>
        </w:rPr>
        <w:t>// backend/src/middleware/requireRole.ts
export async function invalidateUserSessions(userId: string): Promise&lt;void&gt; {
  await redis.del(`sessions:${userId}`);
  // 90-day TTL = JWT refresh token max lifetime
  await redis.setex(`role_version:${userId}`, 60*60*24*90, Date.now().toString());
}</w:t>
      </w:r>
    </w:p>
    <w:p>
      <w:pPr>
        <w:spacing w:before="240" w:after="0"/>
      </w:pPr>
    </w:p>
    <w:p>
      <w:pPr>
        <w:pStyle w:val="Heading2"/>
        <w:spacing w:before="300" w:after="140"/>
      </w:pPr>
      <w:r>
        <w:rPr>
          <w:rFonts w:ascii="Arial" w:cs="Arial" w:eastAsia="Arial" w:hAnsi="Arial"/>
          <w:b/>
          <w:bCs/>
          <w:color w:val="1A3A5C"/>
          <w:sz w:val="28"/>
          <w:szCs w:val="28"/>
        </w:rPr>
        <w:t xml:space="preserve">3.2 MOD-29 — Onboarding Wizard</w:t>
      </w:r>
    </w:p>
    <w:p>
      <w:pPr>
        <w:spacing w:before="80" w:after="80"/>
      </w:pPr>
      <w:r>
        <w:rPr>
          <w:rFonts w:ascii="Arial" w:cs="Arial" w:eastAsia="Arial" w:hAnsi="Arial"/>
          <w:color w:val="1A1A2E"/>
          <w:sz w:val="22"/>
          <w:szCs w:val="22"/>
        </w:rPr>
        <w:t xml:space="preserve">5-step wizard designed for first-time Nigerian SME users. All state persists to AsyncStorage for offline resilience and syncs to backend on reconnect. The wizard resumes from the last completed step on every cold launch until completed = true.</w:t>
      </w:r>
    </w:p>
    <w:p>
      <w:pPr>
        <w:spacing w:before="160" w:after="0"/>
      </w:pPr>
    </w:p>
    <w:tbl>
      <w:tblPr>
        <w:tblW w:type="dxa" w:w="10080"/>
        <w:tblBorders>
          <w:top w:val="single" w:color="auto" w:sz="4"/>
          <w:start w:val="single" w:color="auto" w:sz="4"/>
          <w:bottom w:val="single" w:color="auto" w:sz="4"/>
          <w:end w:val="single" w:color="auto" w:sz="4"/>
          <w:insideH w:val="single" w:color="auto" w:sz="4"/>
          <w:insideV w:val="single" w:color="auto" w:sz="4"/>
        </w:tblBorders>
      </w:tblPr>
      <w:tblGrid>
        <w:gridCol w:w="400"/>
        <w:gridCol w:w="1800"/>
        <w:gridCol w:w="2600"/>
        <w:gridCol w:w="1200"/>
        <w:gridCol w:w="1200"/>
        <w:gridCol w:w="2880"/>
      </w:tblGrid>
      <w:tr>
        <w:trPr>
          <w:tblHeader/>
        </w:trPr>
        <w:tc>
          <w:tcPr>
            <w:tcW w:type="dxa" w:w="40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Step</w:t>
            </w:r>
          </w:p>
        </w:tc>
        <w:tc>
          <w:tcPr>
            <w:tcW w:type="dxa" w:w="180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Screen</w:t>
            </w:r>
          </w:p>
        </w:tc>
        <w:tc>
          <w:tcPr>
            <w:tcW w:type="dxa" w:w="260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Required Fields</w:t>
            </w:r>
          </w:p>
        </w:tc>
        <w:tc>
          <w:tcPr>
            <w:tcW w:type="dxa" w:w="120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TaxAcademy Trigger</w:t>
            </w:r>
          </w:p>
        </w:tc>
        <w:tc>
          <w:tcPr>
            <w:tcW w:type="dxa" w:w="120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Skip Allowed</w:t>
            </w:r>
          </w:p>
        </w:tc>
        <w:tc>
          <w:tcPr>
            <w:tcW w:type="dxa" w:w="288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Network Required</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1</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Welcome + Language</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Language selection (EN / Pidgin)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No</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No — AsyncStorage only</w:t>
            </w:r>
          </w:p>
        </w:tc>
      </w:tr>
      <w:tr>
        <w:tc>
          <w:tcPr>
            <w:tcW w:type="dxa" w:w="4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2</w:t>
            </w:r>
          </w:p>
        </w:tc>
        <w:tc>
          <w:tcPr>
            <w:tcW w:type="dxa" w:w="18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Business Profile</w:t>
            </w:r>
          </w:p>
        </w:tc>
        <w:tc>
          <w:tcPr>
            <w:tcW w:type="dxa" w:w="26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Business name, TIN (8-digit NRS), entity</w:t>
            </w:r>
          </w:p>
        </w:tc>
        <w:tc>
          <w:tcPr>
            <w:tcW w:type="dxa" w:w="12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Lesson 1</w:t>
            </w:r>
          </w:p>
        </w:tc>
        <w:tc>
          <w:tcPr>
            <w:tcW w:type="dxa" w:w="12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No</w:t>
            </w:r>
          </w:p>
        </w:tc>
        <w:tc>
          <w:tcPr>
            <w:tcW w:type="dxa" w:w="28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No — validates format locally</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3</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Tax Obligations</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Min 1 of: VAT, PIT, CIT, PAYE, WHT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Lesson 2</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No</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No — card selector</w:t>
            </w:r>
          </w:p>
        </w:tc>
      </w:tr>
      <w:tr>
        <w:tc>
          <w:tcPr>
            <w:tcW w:type="dxa" w:w="4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4</w:t>
            </w:r>
          </w:p>
        </w:tc>
        <w:tc>
          <w:tcPr>
            <w:tcW w:type="dxa" w:w="18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NRS Connection</w:t>
            </w:r>
          </w:p>
        </w:tc>
        <w:tc>
          <w:tcPr>
            <w:tcW w:type="dxa" w:w="26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OAuth-style NRS auth (circuit-aware)</w:t>
            </w:r>
          </w:p>
        </w:tc>
        <w:tc>
          <w:tcPr>
            <w:tcW w:type="dxa" w:w="12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w:t>
            </w:r>
          </w:p>
        </w:tc>
        <w:tc>
          <w:tcPr>
            <w:tcW w:type="dxa" w:w="12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Yes</w:t>
            </w:r>
          </w:p>
        </w:tc>
        <w:tc>
          <w:tcPr>
            <w:tcW w:type="dxa" w:w="28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Yes — skippable if offline</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5</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Dashboard Tour</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Coach marks on gauge + anomalies + actions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No</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No — local overlay</w:t>
            </w:r>
          </w:p>
        </w:tc>
      </w:tr>
    </w:tbl>
    <w:p>
      <w:pPr>
        <w:spacing w:before="240" w:after="0"/>
      </w:pPr>
    </w:p>
    <w:p>
      <w:pPr>
        <w:pStyle w:val="Heading2"/>
        <w:spacing w:before="300" w:after="140"/>
      </w:pPr>
      <w:r>
        <w:rPr>
          <w:rFonts w:ascii="Arial" w:cs="Arial" w:eastAsia="Arial" w:hAnsi="Arial"/>
          <w:b/>
          <w:bCs/>
          <w:color w:val="1A3A5C"/>
          <w:sz w:val="28"/>
          <w:szCs w:val="28"/>
        </w:rPr>
        <w:t xml:space="preserve">3.3 MOD-30 — Observability Stack</w:t>
      </w:r>
    </w:p>
    <w:tbl>
      <w:tblPr>
        <w:tblW w:type="dxa" w:w="10080"/>
        <w:tblBorders>
          <w:top w:val="single" w:color="auto" w:sz="4"/>
          <w:start w:val="single" w:color="auto" w:sz="4"/>
          <w:bottom w:val="single" w:color="auto" w:sz="4"/>
          <w:end w:val="single" w:color="auto" w:sz="4"/>
          <w:insideH w:val="single" w:color="auto" w:sz="4"/>
          <w:insideV w:val="single" w:color="auto" w:sz="4"/>
        </w:tblBorders>
      </w:tblPr>
      <w:tblGrid>
        <w:gridCol w:w="1800"/>
        <w:gridCol w:w="2200"/>
        <w:gridCol w:w="2800"/>
        <w:gridCol w:w="2280"/>
      </w:tblGrid>
      <w:tr>
        <w:trPr>
          <w:tblHeader/>
        </w:trPr>
        <w:tc>
          <w:tcPr>
            <w:tcW w:type="dxa" w:w="180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Layer</w:t>
            </w:r>
          </w:p>
        </w:tc>
        <w:tc>
          <w:tcPr>
            <w:tcW w:type="dxa" w:w="220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Tool</w:t>
            </w:r>
          </w:p>
        </w:tc>
        <w:tc>
          <w:tcPr>
            <w:tcW w:type="dxa" w:w="280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Alert Threshold</w:t>
            </w:r>
          </w:p>
        </w:tc>
        <w:tc>
          <w:tcPr>
            <w:tcW w:type="dxa" w:w="228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Destination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Error tracking</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Sentry (PII scrubbed)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Error rate &gt;1% for 2min</w:t>
            </w:r>
          </w:p>
        </w:tc>
        <w:tc>
          <w:tcPr>
            <w:tcW w:type="dxa" w:w="2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PagerDuty</w:t>
            </w:r>
          </w:p>
        </w:tc>
      </w:tr>
      <w:tr>
        <w:tc>
          <w:tcPr>
            <w:tcW w:type="dxa" w:w="18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API metrics</w:t>
            </w:r>
          </w:p>
        </w:tc>
        <w:tc>
          <w:tcPr>
            <w:tcW w:type="dxa" w:w="22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Prometheus + prom-client</w:t>
            </w:r>
          </w:p>
        </w:tc>
        <w:tc>
          <w:tcPr>
            <w:tcW w:type="dxa" w:w="28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Dashboard p99 &gt;2s for 5min</w:t>
            </w:r>
          </w:p>
        </w:tc>
        <w:tc>
          <w:tcPr>
            <w:tcW w:type="dxa" w:w="22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Slack #ops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DLQ depth</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Custom Gauge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&gt;10 unresolved jobs for 15min</w:t>
            </w:r>
          </w:p>
        </w:tc>
        <w:tc>
          <w:tcPr>
            <w:tcW w:type="dxa" w:w="2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Slack #ops</w:t>
            </w:r>
          </w:p>
        </w:tc>
      </w:tr>
      <w:tr>
        <w:tc>
          <w:tcPr>
            <w:tcW w:type="dxa" w:w="18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Infrastructure</w:t>
            </w:r>
          </w:p>
        </w:tc>
        <w:tc>
          <w:tcPr>
            <w:tcW w:type="dxa" w:w="22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Render / Vercel native</w:t>
            </w:r>
          </w:p>
        </w:tc>
        <w:tc>
          <w:tcPr>
            <w:tcW w:type="dxa" w:w="28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CPU &gt;80% for 5min</w:t>
            </w:r>
          </w:p>
        </w:tc>
        <w:tc>
          <w:tcPr>
            <w:tcW w:type="dxa" w:w="22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Auto-scale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Auth flood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Anomaly signal counter</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&gt;10 auth failures per minute</w:t>
            </w:r>
          </w:p>
        </w:tc>
        <w:tc>
          <w:tcPr>
            <w:tcW w:type="dxa" w:w="2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Block IP + PagerDuty</w:t>
            </w:r>
          </w:p>
        </w:tc>
      </w:tr>
      <w:tr>
        <w:tc>
          <w:tcPr>
            <w:tcW w:type="dxa" w:w="18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Business metrics</w:t>
            </w:r>
          </w:p>
        </w:tc>
        <w:tc>
          <w:tcPr>
            <w:tcW w:type="dxa" w:w="22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Custom Grafana board</w:t>
            </w:r>
          </w:p>
        </w:tc>
        <w:tc>
          <w:tcPr>
            <w:tcW w:type="dxa" w:w="28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DAU drops &gt;20% vs prior 7-day average</w:t>
            </w:r>
          </w:p>
        </w:tc>
        <w:tc>
          <w:tcPr>
            <w:tcW w:type="dxa" w:w="22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Slack #growth</w:t>
            </w:r>
          </w:p>
        </w:tc>
      </w:tr>
    </w:tbl>
    <w:p>
      <w:pPr>
        <w:spacing w:before="160" w:after="0"/>
      </w:pPr>
    </w:p>
    <w:p>
      <w:pPr>
        <w:pBdr>
          <w:left w:val="single" w:color="DC2626" w:sz="16" w:space="4"/>
        </w:pBdr>
        <w:shd w:fill="FAFAFA" w:val="clear"/>
        <w:spacing w:before="120" w:after="120"/>
        <w:ind w:left="360"/>
      </w:pPr>
      <w:r>
        <w:rPr>
          <w:rFonts w:ascii="Arial" w:cs="Arial" w:eastAsia="Arial" w:hAnsi="Arial"/>
          <w:sz w:val="22"/>
          <w:szCs w:val="22"/>
        </w:rPr>
        <w:t xml:space="preserve">🔒  </w:t>
      </w:r>
      <w:r>
        <w:rPr>
          <w:rFonts w:ascii="Arial" w:cs="Arial" w:eastAsia="Arial" w:hAnsi="Arial"/>
          <w:b/>
          <w:bCs/>
          <w:color w:val="0A2540"/>
          <w:sz w:val="22"/>
          <w:szCs w:val="22"/>
        </w:rPr>
        <w:t xml:space="preserve">PII Scrubbing Order Matters:  </w:t>
      </w:r>
      <w:r>
        <w:rPr>
          <w:rFonts w:ascii="Arial" w:cs="Arial" w:eastAsia="Arial" w:hAnsi="Arial"/>
          <w:color w:val="1A1A2E"/>
          <w:sz w:val="22"/>
          <w:szCs w:val="22"/>
        </w:rPr>
        <w:t xml:space="preserve">Pattern order must be: BVN (11-digit) → Account (10-digit) → TIN (8-digit). If TIN pattern runs first, it will partially mask BVN numbers, producing [TIN_REDACTED]XX — a data leak. Use \b word boundary anchors throughout.</w:t>
      </w:r>
    </w:p>
    <w:p>
      <w:pPr>
        <w:spacing w:before="240" w:after="0"/>
      </w:pPr>
    </w:p>
    <w:p>
      <w:pPr>
        <w:pStyle w:val="Heading2"/>
        <w:spacing w:before="300" w:after="140"/>
      </w:pPr>
      <w:r>
        <w:rPr>
          <w:rFonts w:ascii="Arial" w:cs="Arial" w:eastAsia="Arial" w:hAnsi="Arial"/>
          <w:b/>
          <w:bCs/>
          <w:color w:val="1A3A5C"/>
          <w:sz w:val="28"/>
          <w:szCs w:val="28"/>
        </w:rPr>
        <w:t xml:space="preserve">3.4 MOD-31 — Event Bus + Cron Orchestrator</w:t>
      </w:r>
    </w:p>
    <w:p>
      <w:pPr>
        <w:spacing w:before="80" w:after="80"/>
      </w:pPr>
      <w:r>
        <w:rPr>
          <w:rFonts w:ascii="Arial" w:cs="Arial" w:eastAsia="Arial" w:hAnsi="Arial"/>
          <w:color w:val="1A1A2E"/>
          <w:sz w:val="22"/>
          <w:szCs w:val="22"/>
        </w:rPr>
        <w:t xml:space="preserve">Centralises all scheduled jobs and reactive event handling. Prior to V11.0, the anomaly engine wrote records but no downstream action occurred. The event bus wires anomaly detection directly to cache invalidation, health score recomputation, user notifications, and audit logging.</w:t>
      </w:r>
    </w:p>
    <w:p>
      <w:pPr>
        <w:spacing w:before="160" w:after="0"/>
      </w:pPr>
    </w:p>
    <w:tbl>
      <w:tblPr>
        <w:tblW w:type="dxa" w:w="10080"/>
        <w:tblBorders>
          <w:top w:val="single" w:color="auto" w:sz="4"/>
          <w:start w:val="single" w:color="auto" w:sz="4"/>
          <w:bottom w:val="single" w:color="auto" w:sz="4"/>
          <w:end w:val="single" w:color="auto" w:sz="4"/>
          <w:insideH w:val="single" w:color="auto" w:sz="4"/>
          <w:insideV w:val="single" w:color="auto" w:sz="4"/>
        </w:tblBorders>
      </w:tblPr>
      <w:tblGrid>
        <w:gridCol w:w="1800"/>
        <w:gridCol w:w="1600"/>
        <w:gridCol w:w="2300"/>
        <w:gridCol w:w="3380"/>
      </w:tblGrid>
      <w:tr>
        <w:trPr>
          <w:tblHeader/>
        </w:trPr>
        <w:tc>
          <w:tcPr>
            <w:tcW w:type="dxa" w:w="180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Cron Job</w:t>
            </w:r>
          </w:p>
        </w:tc>
        <w:tc>
          <w:tcPr>
            <w:tcW w:type="dxa" w:w="160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Schedule</w:t>
            </w:r>
          </w:p>
        </w:tc>
        <w:tc>
          <w:tcPr>
            <w:tcW w:type="dxa" w:w="230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Handler</w:t>
            </w:r>
          </w:p>
        </w:tc>
        <w:tc>
          <w:tcPr>
            <w:tcW w:type="dxa" w:w="338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Critical Notes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keepAlive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*/14 * * * *</w:t>
            </w:r>
          </w:p>
        </w:tc>
        <w:tc>
          <w:tcPr>
            <w:tcW w:type="dxa" w:w="2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pingKeepAlive()</w:t>
            </w:r>
          </w:p>
        </w:tc>
        <w:tc>
          <w:tcPr>
            <w:tcW w:type="dxa" w:w="33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Render spins down after 15min idle — this prevents cold-starts</w:t>
            </w:r>
          </w:p>
        </w:tc>
      </w:tr>
      <w:tr>
        <w:tc>
          <w:tcPr>
            <w:tcW w:type="dxa" w:w="18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taxHealthSnapshot</w:t>
            </w:r>
          </w:p>
        </w:tc>
        <w:tc>
          <w:tcPr>
            <w:tcW w:type="dxa" w:w="16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0 */6 * * *</w:t>
            </w:r>
          </w:p>
        </w:tc>
        <w:tc>
          <w:tcPr>
            <w:tcW w:type="dxa" w:w="23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runTaxHealthSnapshotAll()</w:t>
            </w:r>
          </w:p>
        </w:tc>
        <w:tc>
          <w:tcPr>
            <w:tcW w:type="dxa" w:w="33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Bypassed for HIGH/CRITICAL anomalies via event bus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nrsQueueDrain</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*/30 * * * *</w:t>
            </w:r>
          </w:p>
        </w:tc>
        <w:tc>
          <w:tcPr>
            <w:tcW w:type="dxa" w:w="2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drainNrsQueue()</w:t>
            </w:r>
          </w:p>
        </w:tc>
        <w:tc>
          <w:tcPr>
            <w:tcW w:type="dxa" w:w="33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Processes BullMQ NRS stamp queue</w:t>
            </w:r>
          </w:p>
        </w:tc>
      </w:tr>
      <w:tr>
        <w:tc>
          <w:tcPr>
            <w:tcW w:type="dxa" w:w="18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complianceReminder</w:t>
            </w:r>
          </w:p>
        </w:tc>
        <w:tc>
          <w:tcPr>
            <w:tcW w:type="dxa" w:w="16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0 8 * * *</w:t>
            </w:r>
          </w:p>
        </w:tc>
        <w:tc>
          <w:tcPr>
            <w:tcW w:type="dxa" w:w="23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sendComplianceReminders()</w:t>
            </w:r>
          </w:p>
        </w:tc>
        <w:tc>
          <w:tcPr>
            <w:tcW w:type="dxa" w:w="33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9:00 WAT (8:00 UTC) daily — VAT/WHT/PAYE deadlines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anomalyDigest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0 7 * * 1</w:t>
            </w:r>
          </w:p>
        </w:tc>
        <w:tc>
          <w:tcPr>
            <w:tcW w:type="dxa" w:w="2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sendWeeklyAnomalyDigest()</w:t>
            </w:r>
          </w:p>
        </w:tc>
        <w:tc>
          <w:tcPr>
            <w:tcW w:type="dxa" w:w="33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8:00 WAT Monday — business owner summary</w:t>
            </w:r>
          </w:p>
        </w:tc>
      </w:tr>
      <w:tr>
        <w:tc>
          <w:tcPr>
            <w:tcW w:type="dxa" w:w="18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sessionCleanup</w:t>
            </w:r>
          </w:p>
        </w:tc>
        <w:tc>
          <w:tcPr>
            <w:tcW w:type="dxa" w:w="16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0 1 * * *</w:t>
            </w:r>
          </w:p>
        </w:tc>
        <w:tc>
          <w:tcPr>
            <w:tcW w:type="dxa" w:w="23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expireOldSessions()</w:t>
            </w:r>
          </w:p>
        </w:tc>
        <w:tc>
          <w:tcPr>
            <w:tcW w:type="dxa" w:w="33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2:00 WAT daily — removes expired UserSession records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dlqAlert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*/15 * * * *</w:t>
            </w:r>
          </w:p>
        </w:tc>
        <w:tc>
          <w:tcPr>
            <w:tcW w:type="dxa" w:w="2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alertOnDLQDepth()</w:t>
            </w:r>
          </w:p>
        </w:tc>
        <w:tc>
          <w:tcPr>
            <w:tcW w:type="dxa" w:w="33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Alerts #ops if unresolved DLQ jobs &gt; 10</w:t>
            </w:r>
          </w:p>
        </w:tc>
      </w:tr>
    </w:tbl>
    <w:p>
      <w:r>
        <w:br w:type="page"/>
      </w:r>
    </w:p>
    <w:p>
      <w:pPr>
        <w:pStyle w:val="Heading1"/>
        <w:spacing w:before="400" w:after="200"/>
      </w:pPr>
      <w:r>
        <w:rPr>
          <w:rFonts w:ascii="Arial" w:cs="Arial" w:eastAsia="Arial" w:hAnsi="Arial"/>
          <w:b/>
          <w:bCs/>
          <w:color w:val="0A2540"/>
          <w:sz w:val="36"/>
          <w:szCs w:val="36"/>
        </w:rPr>
        <w:t xml:space="preserve">4. Database Schema Additions</w:t>
      </w:r>
    </w:p>
    <w:p>
      <w:pPr>
        <w:pStyle w:val="Heading2"/>
        <w:spacing w:before="300" w:after="140"/>
      </w:pPr>
      <w:r>
        <w:rPr>
          <w:rFonts w:ascii="Arial" w:cs="Arial" w:eastAsia="Arial" w:hAnsi="Arial"/>
          <w:b/>
          <w:bCs/>
          <w:color w:val="1A3A5C"/>
          <w:sz w:val="28"/>
          <w:szCs w:val="28"/>
        </w:rPr>
        <w:t xml:space="preserve">4.1 New Prisma Models</w:t>
      </w:r>
    </w:p>
    <w:tbl>
      <w:tblPr>
        <w:tblW w:type="dxa" w:w="10080"/>
        <w:tblBorders>
          <w:top w:val="single" w:color="auto" w:sz="4"/>
          <w:start w:val="single" w:color="auto" w:sz="4"/>
          <w:bottom w:val="single" w:color="auto" w:sz="4"/>
          <w:end w:val="single" w:color="auto" w:sz="4"/>
          <w:insideH w:val="single" w:color="auto" w:sz="4"/>
          <w:insideV w:val="single" w:color="auto" w:sz="4"/>
        </w:tblBorders>
      </w:tblPr>
      <w:tblGrid>
        <w:gridCol w:w="1800"/>
        <w:gridCol w:w="2600"/>
        <w:gridCol w:w="2800"/>
        <w:gridCol w:w="1880"/>
      </w:tblGrid>
      <w:tr>
        <w:trPr>
          <w:tblHeader/>
        </w:trPr>
        <w:tc>
          <w:tcPr>
            <w:tcW w:type="dxa" w:w="180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Model</w:t>
            </w:r>
          </w:p>
        </w:tc>
        <w:tc>
          <w:tcPr>
            <w:tcW w:type="dxa" w:w="260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Purpose</w:t>
            </w:r>
          </w:p>
        </w:tc>
        <w:tc>
          <w:tcPr>
            <w:tcW w:type="dxa" w:w="280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Key Constraint</w:t>
            </w:r>
          </w:p>
        </w:tc>
        <w:tc>
          <w:tcPr>
            <w:tcW w:type="dxa" w:w="188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NDPC Note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AuditLog</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Immutable action history</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No updatedAt field — append-only</w:t>
            </w:r>
          </w:p>
        </w:tc>
        <w:tc>
          <w:tcPr>
            <w:tcW w:type="dxa" w:w="1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Required for NDPC §30 right-to-access exports</w:t>
            </w:r>
          </w:p>
        </w:tc>
      </w:tr>
      <w:tr>
        <w:tc>
          <w:tcPr>
            <w:tcW w:type="dxa" w:w="18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OnboardingProgress</w:t>
            </w:r>
          </w:p>
        </w:tc>
        <w:tc>
          <w:tcPr>
            <w:tcW w:type="dxa" w:w="26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Wizard state persistence</w:t>
            </w:r>
          </w:p>
        </w:tc>
        <w:tc>
          <w:tcPr>
            <w:tcW w:type="dxa" w:w="28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userId @unique — one record per user</w:t>
            </w:r>
          </w:p>
        </w:tc>
        <w:tc>
          <w:tcPr>
            <w:tcW w:type="dxa" w:w="18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DLQJob</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Failed NRS stamp tracking</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resolved Boolean + resolvedAt DateTime</w:t>
            </w:r>
          </w:p>
        </w:tc>
        <w:tc>
          <w:tcPr>
            <w:tcW w:type="dxa" w:w="1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w:t>
            </w:r>
          </w:p>
        </w:tc>
      </w:tr>
      <w:tr>
        <w:tc>
          <w:tcPr>
            <w:tcW w:type="dxa" w:w="18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UserSession</w:t>
            </w:r>
          </w:p>
        </w:tc>
        <w:tc>
          <w:tcPr>
            <w:tcW w:type="dxa" w:w="26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Active session registry</w:t>
            </w:r>
          </w:p>
        </w:tc>
        <w:tc>
          <w:tcPr>
            <w:tcW w:type="dxa" w:w="28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tokenHash @unique, expiresAt indexed</w:t>
            </w:r>
          </w:p>
        </w:tc>
        <w:tc>
          <w:tcPr>
            <w:tcW w:type="dxa" w:w="18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Required for session invalidation on role change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AcademyNudge</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TaxAcademy context triggers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userId + lessonId + trigger composite</w:t>
            </w:r>
          </w:p>
        </w:tc>
        <w:tc>
          <w:tcPr>
            <w:tcW w:type="dxa" w:w="1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w:t>
            </w:r>
          </w:p>
        </w:tc>
      </w:tr>
    </w:tbl>
    <w:p>
      <w:pPr>
        <w:spacing w:before="200" w:after="0"/>
      </w:pPr>
    </w:p>
    <w:p>
      <w:pPr>
        <w:pStyle w:val="Heading2"/>
        <w:spacing w:before="300" w:after="140"/>
      </w:pPr>
      <w:r>
        <w:rPr>
          <w:rFonts w:ascii="Arial" w:cs="Arial" w:eastAsia="Arial" w:hAnsi="Arial"/>
          <w:b/>
          <w:bCs/>
          <w:color w:val="1A3A5C"/>
          <w:sz w:val="28"/>
          <w:szCs w:val="28"/>
        </w:rPr>
        <w:t xml:space="preserve">4.2 Zero-Downtime Migration Pattern</w:t>
      </w:r>
    </w:p>
    <w:p>
      <w:pPr>
        <w:pBdr>
          <w:left w:val="single" w:color="F59E0B" w:sz="16" w:space="4"/>
        </w:pBdr>
        <w:shd w:fill="FAFAFA" w:val="clear"/>
        <w:spacing w:before="120" w:after="120"/>
        <w:ind w:left="360"/>
      </w:pPr>
      <w:r>
        <w:rPr>
          <w:rFonts w:ascii="Arial" w:cs="Arial" w:eastAsia="Arial" w:hAnsi="Arial"/>
          <w:sz w:val="22"/>
          <w:szCs w:val="22"/>
        </w:rPr>
        <w:t xml:space="preserve">⚠️  </w:t>
      </w:r>
      <w:r>
        <w:rPr>
          <w:rFonts w:ascii="Arial" w:cs="Arial" w:eastAsia="Arial" w:hAnsi="Arial"/>
          <w:b/>
          <w:bCs/>
          <w:color w:val="0A2540"/>
          <w:sz w:val="22"/>
          <w:szCs w:val="22"/>
        </w:rPr>
        <w:t xml:space="preserve">Never run prisma migrate deploy between 08:00–20:00 WAT.  </w:t>
      </w:r>
      <w:r>
        <w:rPr>
          <w:rFonts w:ascii="Arial" w:cs="Arial" w:eastAsia="Arial" w:hAnsi="Arial"/>
          <w:color w:val="1A1A2E"/>
          <w:sz w:val="22"/>
          <w:szCs w:val="22"/>
        </w:rPr>
        <w:t xml:space="preserve">Schedule migrations at 02:00–04:00 WAT with rollback migration prepared. Migrations that add NOT NULL constraints without defaults acquire table locks.</w:t>
      </w:r>
    </w:p>
    <w:p>
      <w:pPr>
        <w:spacing w:before="160" w:after="0"/>
      </w:pPr>
    </w:p>
    <w:tbl>
      <w:tblPr>
        <w:tblW w:type="dxa" w:w="10080"/>
        <w:tblBorders>
          <w:top w:val="single" w:color="auto" w:sz="4"/>
          <w:start w:val="single" w:color="auto" w:sz="4"/>
          <w:bottom w:val="single" w:color="auto" w:sz="4"/>
          <w:end w:val="single" w:color="auto" w:sz="4"/>
          <w:insideH w:val="single" w:color="auto" w:sz="4"/>
          <w:insideV w:val="single" w:color="auto" w:sz="4"/>
        </w:tblBorders>
      </w:tblPr>
      <w:tblGrid>
        <w:gridCol w:w="400"/>
        <w:gridCol w:w="4200"/>
        <w:gridCol w:w="1900"/>
        <w:gridCol w:w="2580"/>
      </w:tblGrid>
      <w:tr>
        <w:trPr>
          <w:tblHeader/>
        </w:trPr>
        <w:tc>
          <w:tcPr>
            <w:tcW w:type="dxa" w:w="40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Step</w:t>
            </w:r>
          </w:p>
        </w:tc>
        <w:tc>
          <w:tcPr>
            <w:tcW w:type="dxa" w:w="420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Action</w:t>
            </w:r>
          </w:p>
        </w:tc>
        <w:tc>
          <w:tcPr>
            <w:tcW w:type="dxa" w:w="190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Deploy Required?</w:t>
            </w:r>
          </w:p>
        </w:tc>
        <w:tc>
          <w:tcPr>
            <w:tcW w:type="dxa" w:w="258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Downtime?</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1</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Add new columns as NULLABLE</w:t>
            </w:r>
          </w:p>
        </w:tc>
        <w:tc>
          <w:tcPr>
            <w:tcW w:type="dxa" w:w="1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No</w:t>
            </w:r>
          </w:p>
        </w:tc>
        <w:tc>
          <w:tcPr>
            <w:tcW w:type="dxa" w:w="2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None</w:t>
            </w:r>
          </w:p>
        </w:tc>
      </w:tr>
      <w:tr>
        <w:tc>
          <w:tcPr>
            <w:tcW w:type="dxa" w:w="4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2</w:t>
            </w:r>
          </w:p>
        </w:tc>
        <w:tc>
          <w:tcPr>
            <w:tcW w:type="dxa" w:w="42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Deploy application code handling both old and new schema</w:t>
            </w:r>
          </w:p>
        </w:tc>
        <w:tc>
          <w:tcPr>
            <w:tcW w:type="dxa" w:w="19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Yes</w:t>
            </w:r>
          </w:p>
        </w:tc>
        <w:tc>
          <w:tcPr>
            <w:tcW w:type="dxa" w:w="25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Zero — backward compatible</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3</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Run backfill as BullMQ background job (not migration)</w:t>
            </w:r>
          </w:p>
        </w:tc>
        <w:tc>
          <w:tcPr>
            <w:tcW w:type="dxa" w:w="1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No</w:t>
            </w:r>
          </w:p>
        </w:tc>
        <w:tc>
          <w:tcPr>
            <w:tcW w:type="dxa" w:w="2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None</w:t>
            </w:r>
          </w:p>
        </w:tc>
      </w:tr>
      <w:tr>
        <w:tc>
          <w:tcPr>
            <w:tcW w:type="dxa" w:w="4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4</w:t>
            </w:r>
          </w:p>
        </w:tc>
        <w:tc>
          <w:tcPr>
            <w:tcW w:type="dxa" w:w="42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Add NOT NULL constraints + performance indexes</w:t>
            </w:r>
          </w:p>
        </w:tc>
        <w:tc>
          <w:tcPr>
            <w:tcW w:type="dxa" w:w="19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No</w:t>
            </w:r>
          </w:p>
        </w:tc>
        <w:tc>
          <w:tcPr>
            <w:tcW w:type="dxa" w:w="25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Brief lock (&lt;1s on small tables)</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5</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Deploy app code removing nullable handling</w:t>
            </w:r>
          </w:p>
        </w:tc>
        <w:tc>
          <w:tcPr>
            <w:tcW w:type="dxa" w:w="1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Yes</w:t>
            </w:r>
          </w:p>
        </w:tc>
        <w:tc>
          <w:tcPr>
            <w:tcW w:type="dxa" w:w="2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Zero — schema is now canonical</w:t>
            </w:r>
          </w:p>
        </w:tc>
      </w:tr>
    </w:tbl>
    <w:p>
      <w:pPr>
        <w:spacing w:before="200" w:after="0"/>
      </w:pPr>
    </w:p>
    <w:p>
      <w:pPr>
        <w:pStyle w:val="Heading2"/>
        <w:spacing w:before="300" w:after="140"/>
      </w:pPr>
      <w:r>
        <w:rPr>
          <w:rFonts w:ascii="Arial" w:cs="Arial" w:eastAsia="Arial" w:hAnsi="Arial"/>
          <w:b/>
          <w:bCs/>
          <w:color w:val="1A3A5C"/>
          <w:sz w:val="28"/>
          <w:szCs w:val="28"/>
        </w:rPr>
        <w:t xml:space="preserve">4.3 Performance Indexes for Nigerian SME Queries</w:t>
      </w:r>
    </w:p>
    <w:tbl>
      <w:tblPr>
        <w:tblW w:type="dxa" w:w="10080"/>
        <w:tblBorders>
          <w:top w:val="single" w:color="auto" w:sz="4"/>
          <w:start w:val="single" w:color="auto" w:sz="4"/>
          <w:bottom w:val="single" w:color="auto" w:sz="4"/>
          <w:end w:val="single" w:color="auto" w:sz="4"/>
          <w:insideH w:val="single" w:color="auto" w:sz="4"/>
          <w:insideV w:val="single" w:color="auto" w:sz="4"/>
        </w:tblBorders>
      </w:tblPr>
      <w:tblGrid>
        <w:gridCol w:w="2200"/>
        <w:gridCol w:w="2800"/>
        <w:gridCol w:w="4080"/>
      </w:tblGrid>
      <w:tr>
        <w:trPr>
          <w:tblHeader/>
        </w:trPr>
        <w:tc>
          <w:tcPr>
            <w:tcW w:type="dxa" w:w="220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Model</w:t>
            </w:r>
          </w:p>
        </w:tc>
        <w:tc>
          <w:tcPr>
            <w:tcW w:type="dxa" w:w="280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Index Columns</w:t>
            </w:r>
          </w:p>
        </w:tc>
        <w:tc>
          <w:tcPr>
            <w:tcW w:type="dxa" w:w="408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Query Pattern Served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Transaction</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userId, createdAt DESC</w:t>
            </w:r>
          </w:p>
        </w:tc>
        <w:tc>
          <w:tcPr>
            <w:tcW w:type="dxa" w:w="4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Dashboard composite — hot path, called on every app open</w:t>
            </w:r>
          </w:p>
        </w:tc>
      </w:tr>
      <w:tr>
        <w:tc>
          <w:tcPr>
            <w:tcW w:type="dxa" w:w="22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AnomalyRecord</w:t>
            </w:r>
          </w:p>
        </w:tc>
        <w:tc>
          <w:tcPr>
            <w:tcW w:type="dxa" w:w="28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userId, severity, createdAt DESC</w:t>
            </w:r>
          </w:p>
        </w:tc>
        <w:tc>
          <w:tcPr>
            <w:tcW w:type="dxa" w:w="40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TopAnomaliesSection — sorts by severity then recency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Invoice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userId, status, dueDate</w:t>
            </w:r>
          </w:p>
        </w:tc>
        <w:tc>
          <w:tcPr>
            <w:tcW w:type="dxa" w:w="4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Compliance calendar — upcoming deadlines filter</w:t>
            </w:r>
          </w:p>
        </w:tc>
      </w:tr>
      <w:tr>
        <w:tc>
          <w:tcPr>
            <w:tcW w:type="dxa" w:w="22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TaxHealthSnapshot</w:t>
            </w:r>
          </w:p>
        </w:tc>
        <w:tc>
          <w:tcPr>
            <w:tcW w:type="dxa" w:w="28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userId, createdAt DESC</w:t>
            </w:r>
          </w:p>
        </w:tc>
        <w:tc>
          <w:tcPr>
            <w:tcW w:type="dxa" w:w="40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Trend sparklines — 30-day history lookup</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AuditLog</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actorId, createdAt</w:t>
            </w:r>
          </w:p>
        </w:tc>
        <w:tc>
          <w:tcPr>
            <w:tcW w:type="dxa" w:w="4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NDPC audit export — filtered by user + date range</w:t>
            </w:r>
          </w:p>
        </w:tc>
      </w:tr>
      <w:tr>
        <w:tc>
          <w:tcPr>
            <w:tcW w:type="dxa" w:w="22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UserSession</w:t>
            </w:r>
          </w:p>
        </w:tc>
        <w:tc>
          <w:tcPr>
            <w:tcW w:type="dxa" w:w="28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userId, expiresAt</w:t>
            </w:r>
          </w:p>
        </w:tc>
        <w:tc>
          <w:tcPr>
            <w:tcW w:type="dxa" w:w="40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Session validation — called on every authenticated request</w:t>
            </w:r>
          </w:p>
        </w:tc>
      </w:tr>
    </w:tbl>
    <w:p>
      <w:r>
        <w:br w:type="page"/>
      </w:r>
    </w:p>
    <w:p>
      <w:pPr>
        <w:pStyle w:val="Heading1"/>
        <w:spacing w:before="400" w:after="200"/>
      </w:pPr>
      <w:r>
        <w:rPr>
          <w:rFonts w:ascii="Arial" w:cs="Arial" w:eastAsia="Arial" w:hAnsi="Arial"/>
          <w:b/>
          <w:bCs/>
          <w:color w:val="0A2540"/>
          <w:sz w:val="36"/>
          <w:szCs w:val="36"/>
        </w:rPr>
        <w:t xml:space="preserve">5. API Endpoints — V11.0</w:t>
      </w:r>
    </w:p>
    <w:p>
      <w:pPr>
        <w:pStyle w:val="Heading2"/>
        <w:spacing w:before="300" w:after="140"/>
      </w:pPr>
      <w:r>
        <w:rPr>
          <w:rFonts w:ascii="Arial" w:cs="Arial" w:eastAsia="Arial" w:hAnsi="Arial"/>
          <w:b/>
          <w:bCs/>
          <w:color w:val="1A3A5C"/>
          <w:sz w:val="28"/>
          <w:szCs w:val="28"/>
        </w:rPr>
        <w:t xml:space="preserve">5.1 Versioning Strategy</w:t>
      </w:r>
    </w:p>
    <w:tbl>
      <w:tblPr>
        <w:tblW w:type="dxa" w:w="10080"/>
        <w:tblBorders>
          <w:top w:val="single" w:color="auto" w:sz="4"/>
          <w:start w:val="single" w:color="auto" w:sz="4"/>
          <w:bottom w:val="single" w:color="auto" w:sz="4"/>
          <w:end w:val="single" w:color="auto" w:sz="4"/>
          <w:insideH w:val="single" w:color="auto" w:sz="4"/>
          <w:insideV w:val="single" w:color="auto" w:sz="4"/>
        </w:tblBorders>
      </w:tblPr>
      <w:tblGrid>
        <w:gridCol w:w="1400"/>
        <w:gridCol w:w="2000"/>
        <w:gridCol w:w="4100"/>
        <w:gridCol w:w="2580"/>
      </w:tblGrid>
      <w:tr>
        <w:trPr>
          <w:tblHeader/>
        </w:trPr>
        <w:tc>
          <w:tcPr>
            <w:tcW w:type="dxa" w:w="140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Version</w:t>
            </w:r>
          </w:p>
        </w:tc>
        <w:tc>
          <w:tcPr>
            <w:tcW w:type="dxa" w:w="200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Base Path</w:t>
            </w:r>
          </w:p>
        </w:tc>
        <w:tc>
          <w:tcPr>
            <w:tcW w:type="dxa" w:w="410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Status</w:t>
            </w:r>
          </w:p>
        </w:tc>
        <w:tc>
          <w:tcPr>
            <w:tcW w:type="dxa" w:w="258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Sunset Date</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/api/v1</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/api/v1/*</w:t>
            </w:r>
          </w:p>
        </w:tc>
        <w:tc>
          <w:tcPr>
            <w:tcW w:type="dxa" w:w="4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Deprecated — Deprecation: true header on all responses</w:t>
            </w:r>
          </w:p>
        </w:tc>
        <w:tc>
          <w:tcPr>
            <w:tcW w:type="dxa" w:w="2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Sat, 01 Aug 2026 00:00:00 GMT</w:t>
            </w:r>
          </w:p>
        </w:tc>
      </w:tr>
      <w:tr>
        <w:tc>
          <w:tcPr>
            <w:tcW w:type="dxa" w:w="14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/api/v2</w:t>
            </w:r>
          </w:p>
        </w:tc>
        <w:tc>
          <w:tcPr>
            <w:tcW w:type="dxa" w:w="20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/api/v2/*</w:t>
            </w:r>
          </w:p>
        </w:tc>
        <w:tc>
          <w:tcPr>
            <w:tcW w:type="dxa" w:w="41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Current — all new features here</w:t>
            </w:r>
          </w:p>
        </w:tc>
        <w:tc>
          <w:tcPr>
            <w:tcW w:type="dxa" w:w="25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w:t>
            </w:r>
          </w:p>
        </w:tc>
      </w:tr>
    </w:tbl>
    <w:p>
      <w:pPr>
        <w:spacing w:before="200" w:after="0"/>
      </w:pPr>
    </w:p>
    <w:p>
      <w:pPr>
        <w:pStyle w:val="Heading2"/>
        <w:spacing w:before="300" w:after="140"/>
      </w:pPr>
      <w:r>
        <w:rPr>
          <w:rFonts w:ascii="Arial" w:cs="Arial" w:eastAsia="Arial" w:hAnsi="Arial"/>
          <w:b/>
          <w:bCs/>
          <w:color w:val="1A3A5C"/>
          <w:sz w:val="28"/>
          <w:szCs w:val="28"/>
        </w:rPr>
        <w:t xml:space="preserve">5.2 New V11.0 Endpoints</w:t>
      </w:r>
    </w:p>
    <w:tbl>
      <w:tblPr>
        <w:tblW w:type="dxa" w:w="10080"/>
        <w:tblBorders>
          <w:top w:val="single" w:color="auto" w:sz="4"/>
          <w:start w:val="single" w:color="auto" w:sz="4"/>
          <w:bottom w:val="single" w:color="auto" w:sz="4"/>
          <w:end w:val="single" w:color="auto" w:sz="4"/>
          <w:insideH w:val="single" w:color="auto" w:sz="4"/>
          <w:insideV w:val="single" w:color="auto" w:sz="4"/>
        </w:tblBorders>
      </w:tblPr>
      <w:tblGrid>
        <w:gridCol w:w="700"/>
        <w:gridCol w:w="2800"/>
        <w:gridCol w:w="1100"/>
        <w:gridCol w:w="600"/>
        <w:gridCol w:w="3880"/>
      </w:tblGrid>
      <w:tr>
        <w:trPr>
          <w:tblHeader/>
        </w:trPr>
        <w:tc>
          <w:tcPr>
            <w:tcW w:type="dxa" w:w="70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Method</w:t>
            </w:r>
          </w:p>
        </w:tc>
        <w:tc>
          <w:tcPr>
            <w:tcW w:type="dxa" w:w="280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Path</w:t>
            </w:r>
          </w:p>
        </w:tc>
        <w:tc>
          <w:tcPr>
            <w:tcW w:type="dxa" w:w="110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Min Role</w:t>
            </w:r>
          </w:p>
        </w:tc>
        <w:tc>
          <w:tcPr>
            <w:tcW w:type="dxa" w:w="60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Auth</w:t>
            </w:r>
          </w:p>
        </w:tc>
        <w:tc>
          <w:tcPr>
            <w:tcW w:type="dxa" w:w="388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GET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/api/v1/dashboard</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viewer</w:t>
            </w:r>
          </w:p>
        </w:tc>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JWT</w:t>
            </w:r>
          </w:p>
        </w:tc>
        <w:tc>
          <w:tcPr>
            <w:tcW w:type="dxa" w:w="3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Composite dashboard — parallel fetch, Redis 120s TTL, FALLBACK_* on failure</w:t>
            </w:r>
          </w:p>
        </w:tc>
      </w:tr>
      <w:tr>
        <w:tc>
          <w:tcPr>
            <w:tcW w:type="dxa" w:w="7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GET</w:t>
            </w:r>
          </w:p>
        </w:tc>
        <w:tc>
          <w:tcPr>
            <w:tcW w:type="dxa" w:w="28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/api/v2/monitoring/health</w:t>
            </w:r>
          </w:p>
        </w:tc>
        <w:tc>
          <w:tcPr>
            <w:tcW w:type="dxa" w:w="11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public</w:t>
            </w:r>
          </w:p>
        </w:tc>
        <w:tc>
          <w:tcPr>
            <w:tcW w:type="dxa" w:w="6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w:t>
            </w:r>
          </w:p>
        </w:tc>
        <w:tc>
          <w:tcPr>
            <w:tcW w:type="dxa" w:w="38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Render health check. Returns {"status":"healthy"}. No auth required.</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GET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/api/v2/monitoring/metrics</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admin</w:t>
            </w:r>
          </w:p>
        </w:tc>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JWT</w:t>
            </w:r>
          </w:p>
        </w:tc>
        <w:tc>
          <w:tcPr>
            <w:tcW w:type="dxa" w:w="3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Prometheus format metrics endpoint</w:t>
            </w:r>
          </w:p>
        </w:tc>
      </w:tr>
      <w:tr>
        <w:tc>
          <w:tcPr>
            <w:tcW w:type="dxa" w:w="7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GET</w:t>
            </w:r>
          </w:p>
        </w:tc>
        <w:tc>
          <w:tcPr>
            <w:tcW w:type="dxa" w:w="28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/api/v2/onboarding/state</w:t>
            </w:r>
          </w:p>
        </w:tc>
        <w:tc>
          <w:tcPr>
            <w:tcW w:type="dxa" w:w="11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viewer</w:t>
            </w:r>
          </w:p>
        </w:tc>
        <w:tc>
          <w:tcPr>
            <w:tcW w:type="dxa" w:w="6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JWT</w:t>
            </w:r>
          </w:p>
        </w:tc>
        <w:tc>
          <w:tcPr>
            <w:tcW w:type="dxa" w:w="38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Fetch current onboarding progress (currentStep, completed, skippedNRS)</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PATCH</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/api/v2/onboarding/step</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viewer</w:t>
            </w:r>
          </w:p>
        </w:tc>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JWT</w:t>
            </w:r>
          </w:p>
        </w:tc>
        <w:tc>
          <w:tcPr>
            <w:tcW w:type="dxa" w:w="3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Advance wizard step (1–5). Idempotent — safe to call multiple times.</w:t>
            </w:r>
          </w:p>
        </w:tc>
      </w:tr>
      <w:tr>
        <w:tc>
          <w:tcPr>
            <w:tcW w:type="dxa" w:w="7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GET</w:t>
            </w:r>
          </w:p>
        </w:tc>
        <w:tc>
          <w:tcPr>
            <w:tcW w:type="dxa" w:w="28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/api/v2/audit/logs</w:t>
            </w:r>
          </w:p>
        </w:tc>
        <w:tc>
          <w:tcPr>
            <w:tcW w:type="dxa" w:w="11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admin</w:t>
            </w:r>
          </w:p>
        </w:tc>
        <w:tc>
          <w:tcPr>
            <w:tcW w:type="dxa" w:w="6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JWT</w:t>
            </w:r>
          </w:p>
        </w:tc>
        <w:tc>
          <w:tcPr>
            <w:tcW w:type="dxa" w:w="38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Paginated audit trail with date, action, actor filters</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POST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/api/v2/audit/export</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owner</w:t>
            </w:r>
          </w:p>
        </w:tc>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JWT</w:t>
            </w:r>
          </w:p>
        </w:tc>
        <w:tc>
          <w:tcPr>
            <w:tcW w:type="dxa" w:w="3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NDPC-compliant JSON export of user's audit records</w:t>
            </w:r>
          </w:p>
        </w:tc>
      </w:tr>
      <w:tr>
        <w:tc>
          <w:tcPr>
            <w:tcW w:type="dxa" w:w="7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GET</w:t>
            </w:r>
          </w:p>
        </w:tc>
        <w:tc>
          <w:tcPr>
            <w:tcW w:type="dxa" w:w="28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/api/v2/rbac/role</w:t>
            </w:r>
          </w:p>
        </w:tc>
        <w:tc>
          <w:tcPr>
            <w:tcW w:type="dxa" w:w="11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viewer</w:t>
            </w:r>
          </w:p>
        </w:tc>
        <w:tc>
          <w:tcPr>
            <w:tcW w:type="dxa" w:w="6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JWT</w:t>
            </w:r>
          </w:p>
        </w:tc>
        <w:tc>
          <w:tcPr>
            <w:tcW w:type="dxa" w:w="38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Current user role + effective permissions</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PATCH</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/api/v2/rbac/assign</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owner</w:t>
            </w:r>
          </w:p>
        </w:tc>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JWT</w:t>
            </w:r>
          </w:p>
        </w:tc>
        <w:tc>
          <w:tcPr>
            <w:tcW w:type="dxa" w:w="3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Assign role to team member. Invalidates target's sessions.</w:t>
            </w:r>
          </w:p>
        </w:tc>
      </w:tr>
      <w:tr>
        <w:tc>
          <w:tcPr>
            <w:tcW w:type="dxa" w:w="7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GET</w:t>
            </w:r>
          </w:p>
        </w:tc>
        <w:tc>
          <w:tcPr>
            <w:tcW w:type="dxa" w:w="28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/api/v2/sessions</w:t>
            </w:r>
          </w:p>
        </w:tc>
        <w:tc>
          <w:tcPr>
            <w:tcW w:type="dxa" w:w="11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viewer</w:t>
            </w:r>
          </w:p>
        </w:tc>
        <w:tc>
          <w:tcPr>
            <w:tcW w:type="dxa" w:w="6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JWT</w:t>
            </w:r>
          </w:p>
        </w:tc>
        <w:tc>
          <w:tcPr>
            <w:tcW w:type="dxa" w:w="38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List active sessions for current user</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DELETE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/api/v2/sessions/:id</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viewer</w:t>
            </w:r>
          </w:p>
        </w:tc>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JWT</w:t>
            </w:r>
          </w:p>
        </w:tc>
        <w:tc>
          <w:tcPr>
            <w:tcW w:type="dxa" w:w="3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Revoke specific session by ID</w:t>
            </w:r>
          </w:p>
        </w:tc>
      </w:tr>
      <w:tr>
        <w:tc>
          <w:tcPr>
            <w:tcW w:type="dxa" w:w="7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GET</w:t>
            </w:r>
          </w:p>
        </w:tc>
        <w:tc>
          <w:tcPr>
            <w:tcW w:type="dxa" w:w="28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/api/v2/dlq/jobs</w:t>
            </w:r>
          </w:p>
        </w:tc>
        <w:tc>
          <w:tcPr>
            <w:tcW w:type="dxa" w:w="11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admin</w:t>
            </w:r>
          </w:p>
        </w:tc>
        <w:tc>
          <w:tcPr>
            <w:tcW w:type="dxa" w:w="6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JWT</w:t>
            </w:r>
          </w:p>
        </w:tc>
        <w:tc>
          <w:tcPr>
            <w:tcW w:type="dxa" w:w="38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List unresolved DLQ jobs with queueName, failReason, attempts</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POST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/api/v2/dlq/jobs/:id/retry</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admin</w:t>
            </w:r>
          </w:p>
        </w:tc>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JWT</w:t>
            </w:r>
          </w:p>
        </w:tc>
        <w:tc>
          <w:tcPr>
            <w:tcW w:type="dxa" w:w="3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Manually retry a failed DLQ job</w:t>
            </w:r>
          </w:p>
        </w:tc>
      </w:tr>
      <w:tr>
        <w:tc>
          <w:tcPr>
            <w:tcW w:type="dxa" w:w="7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POST</w:t>
            </w:r>
          </w:p>
        </w:tc>
        <w:tc>
          <w:tcPr>
            <w:tcW w:type="dxa" w:w="28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/api/v2/ai/ocr</w:t>
            </w:r>
          </w:p>
        </w:tc>
        <w:tc>
          <w:tcPr>
            <w:tcW w:type="dxa" w:w="11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employee</w:t>
            </w:r>
          </w:p>
        </w:tc>
        <w:tc>
          <w:tcPr>
            <w:tcW w:type="dxa" w:w="6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JWT</w:t>
            </w:r>
          </w:p>
        </w:tc>
        <w:tc>
          <w:tcPr>
            <w:tcW w:type="dxa" w:w="38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Document OCR — returns extracted fields + confidence score</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POST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/api/v2/ai/anomaly-explain</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viewer</w:t>
            </w:r>
          </w:p>
        </w:tc>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JWT</w:t>
            </w:r>
          </w:p>
        </w:tc>
        <w:tc>
          <w:tcPr>
            <w:tcW w:type="dxa" w:w="3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Plain-language anomaly explanation in EN + Pidgin</w:t>
            </w:r>
          </w:p>
        </w:tc>
      </w:tr>
      <w:tr>
        <w:tc>
          <w:tcPr>
            <w:tcW w:type="dxa" w:w="7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GET</w:t>
            </w:r>
          </w:p>
        </w:tc>
        <w:tc>
          <w:tcPr>
            <w:tcW w:type="dxa" w:w="28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/api/v2/academy/nudge</w:t>
            </w:r>
          </w:p>
        </w:tc>
        <w:tc>
          <w:tcPr>
            <w:tcW w:type="dxa" w:w="11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viewer</w:t>
            </w:r>
          </w:p>
        </w:tc>
        <w:tc>
          <w:tcPr>
            <w:tcW w:type="dxa" w:w="6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JWT</w:t>
            </w:r>
          </w:p>
        </w:tc>
        <w:tc>
          <w:tcPr>
            <w:tcW w:type="dxa" w:w="38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Context-aware TaxAcademy lesson recommendation</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POST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/webhooks/flutterwave</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public</w:t>
            </w:r>
          </w:p>
        </w:tc>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HMAC</w:t>
            </w:r>
          </w:p>
        </w:tc>
        <w:tc>
          <w:tcPr>
            <w:tcW w:type="dxa" w:w="3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Flutterwave payment webhook. HMAC-SHA256 verified via rawBody.</w:t>
            </w:r>
          </w:p>
        </w:tc>
      </w:tr>
    </w:tbl>
    <w:p>
      <w:pPr>
        <w:spacing w:before="200" w:after="0"/>
      </w:pPr>
    </w:p>
    <w:p>
      <w:pPr>
        <w:pBdr>
          <w:left w:val="single" w:color="DC2626" w:sz="16" w:space="4"/>
        </w:pBdr>
        <w:shd w:fill="FAFAFA" w:val="clear"/>
        <w:spacing w:before="120" w:after="120"/>
        <w:ind w:left="360"/>
      </w:pPr>
      <w:r>
        <w:rPr>
          <w:rFonts w:ascii="Arial" w:cs="Arial" w:eastAsia="Arial" w:hAnsi="Arial"/>
          <w:sz w:val="22"/>
          <w:szCs w:val="22"/>
        </w:rPr>
        <w:t xml:space="preserve">🔒  </w:t>
      </w:r>
      <w:r>
        <w:rPr>
          <w:rFonts w:ascii="Arial" w:cs="Arial" w:eastAsia="Arial" w:hAnsi="Arial"/>
          <w:b/>
          <w:bCs/>
          <w:color w:val="0A2540"/>
          <w:sz w:val="22"/>
          <w:szCs w:val="22"/>
        </w:rPr>
        <w:t xml:space="preserve">Webhook Security Critical Fix:  </w:t>
      </w:r>
      <w:r>
        <w:rPr>
          <w:rFonts w:ascii="Arial" w:cs="Arial" w:eastAsia="Arial" w:hAnsi="Arial"/>
          <w:color w:val="1A1A2E"/>
          <w:sz w:val="22"/>
          <w:szCs w:val="22"/>
        </w:rPr>
        <w:t xml:space="preserve">app.use("/webhooks", express.raw({ type: "application/json" })) MUST be registered before app.use(express.json()). If json() runs first, req.body is already parsed and req.rawBody is undefined — HMAC verification will always fail.</w:t>
      </w:r>
    </w:p>
    <w:p>
      <w:r>
        <w:br w:type="page"/>
      </w:r>
    </w:p>
    <w:p>
      <w:pPr>
        <w:pStyle w:val="Heading1"/>
        <w:spacing w:before="400" w:after="200"/>
      </w:pPr>
      <w:r>
        <w:rPr>
          <w:rFonts w:ascii="Arial" w:cs="Arial" w:eastAsia="Arial" w:hAnsi="Arial"/>
          <w:b/>
          <w:bCs/>
          <w:color w:val="0A2540"/>
          <w:sz w:val="36"/>
          <w:szCs w:val="36"/>
        </w:rPr>
        <w:t xml:space="preserve">6. UX Flow Specifications</w:t>
      </w:r>
    </w:p>
    <w:p>
      <w:pPr>
        <w:pStyle w:val="Heading2"/>
        <w:spacing w:before="300" w:after="140"/>
      </w:pPr>
      <w:r>
        <w:rPr>
          <w:rFonts w:ascii="Arial" w:cs="Arial" w:eastAsia="Arial" w:hAnsi="Arial"/>
          <w:b/>
          <w:bCs/>
          <w:color w:val="1A3A5C"/>
          <w:sz w:val="28"/>
          <w:szCs w:val="28"/>
        </w:rPr>
        <w:t xml:space="preserve">6.1 Dashboard Animation Choreography (CF-08)</w:t>
      </w:r>
    </w:p>
    <w:p>
      <w:pPr>
        <w:spacing w:before="80" w:after="80"/>
      </w:pPr>
      <w:r>
        <w:rPr>
          <w:rFonts w:ascii="Arial" w:cs="Arial" w:eastAsia="Arial" w:hAnsi="Arial"/>
          <w:color w:val="1A1A2E"/>
          <w:sz w:val="22"/>
          <w:szCs w:val="22"/>
        </w:rPr>
        <w:t xml:space="preserve">On a 2G connection (RTT ~400ms), the dashboard must paint as a single coherent reveal — not 4–6 sequential flashes. The DashboardSkeleton holds exact geometry, and the DashboardZone stagger produces a choreographed entrance sequence.</w:t>
      </w:r>
    </w:p>
    <w:p>
      <w:pPr>
        <w:spacing w:before="160" w:after="0"/>
      </w:pPr>
    </w:p>
    <w:tbl>
      <w:tblPr>
        <w:tblW w:type="dxa" w:w="10080"/>
        <w:tblBorders>
          <w:top w:val="single" w:color="auto" w:sz="4"/>
          <w:start w:val="single" w:color="auto" w:sz="4"/>
          <w:bottom w:val="single" w:color="auto" w:sz="4"/>
          <w:end w:val="single" w:color="auto" w:sz="4"/>
          <w:insideH w:val="single" w:color="auto" w:sz="4"/>
          <w:insideV w:val="single" w:color="auto" w:sz="4"/>
        </w:tblBorders>
      </w:tblPr>
      <w:tblGrid>
        <w:gridCol w:w="1000"/>
        <w:gridCol w:w="800"/>
        <w:gridCol w:w="1800"/>
        <w:gridCol w:w="2800"/>
        <w:gridCol w:w="2680"/>
      </w:tblGrid>
      <w:tr>
        <w:trPr>
          <w:tblHeader/>
        </w:trPr>
        <w:tc>
          <w:tcPr>
            <w:tcW w:type="dxa" w:w="100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Zone</w:t>
            </w:r>
          </w:p>
        </w:tc>
        <w:tc>
          <w:tcPr>
            <w:tcW w:type="dxa" w:w="80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Delay</w:t>
            </w:r>
          </w:p>
        </w:tc>
        <w:tc>
          <w:tcPr>
            <w:tcW w:type="dxa" w:w="180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Urgent Override</w:t>
            </w:r>
          </w:p>
        </w:tc>
        <w:tc>
          <w:tcPr>
            <w:tcW w:type="dxa" w:w="280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Entry Animation</w:t>
            </w:r>
          </w:p>
        </w:tc>
        <w:tc>
          <w:tcPr>
            <w:tcW w:type="dxa" w:w="268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Content</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apex</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0ms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scale(0.92→1) + opacity(0→1)</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TaxHealthGauge + Greeting + Urgent deadline</w:t>
            </w:r>
          </w:p>
        </w:tc>
      </w:tr>
      <w:tr>
        <w:tc>
          <w:tcPr>
            <w:tcW w:type="dxa" w:w="10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signal</w:t>
            </w:r>
          </w:p>
        </w:tc>
        <w:tc>
          <w:tcPr>
            <w:tcW w:type="dxa" w:w="8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80ms</w:t>
            </w:r>
          </w:p>
        </w:tc>
        <w:tc>
          <w:tcPr>
            <w:tcW w:type="dxa" w:w="18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w:t>
            </w:r>
          </w:p>
        </w:tc>
        <w:tc>
          <w:tcPr>
            <w:tcW w:type="dxa" w:w="28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translateY(12→0) + opacity(0→1)</w:t>
            </w:r>
          </w:p>
        </w:tc>
        <w:tc>
          <w:tcPr>
            <w:tcW w:type="dxa" w:w="26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3 metric cards (revenue, liability, health)</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action</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160ms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translateY(12→0) + opacity(0→1)</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6 quick actions (VAT, WHT, PAYE prioritised)</w:t>
            </w:r>
          </w:p>
        </w:tc>
      </w:tr>
      <w:tr>
        <w:tc>
          <w:tcPr>
            <w:tcW w:type="dxa" w:w="10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context</w:t>
            </w:r>
          </w:p>
        </w:tc>
        <w:tc>
          <w:tcPr>
            <w:tcW w:type="dxa" w:w="8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240ms</w:t>
            </w:r>
          </w:p>
        </w:tc>
        <w:tc>
          <w:tcPr>
            <w:tcW w:type="dxa" w:w="18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0ms if HIGH/CRITICAL anomaly</w:t>
            </w:r>
          </w:p>
        </w:tc>
        <w:tc>
          <w:tcPr>
            <w:tcW w:type="dxa" w:w="28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translateY(12→0) + opacity(0→1)</w:t>
            </w:r>
          </w:p>
        </w:tc>
        <w:tc>
          <w:tcPr>
            <w:tcW w:type="dxa" w:w="26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Anomaly list + Compliance calendar</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ambient</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320ms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opacity(0→1) only — no Y movement</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Trend sparklines + OfflineSyncStatus</w:t>
            </w:r>
          </w:p>
        </w:tc>
      </w:tr>
    </w:tbl>
    <w:p>
      <w:pPr>
        <w:spacing w:before="200" w:after="0"/>
      </w:pPr>
    </w:p>
    <w:p>
      <w:pPr>
        <w:pStyle w:val="Heading2"/>
        <w:spacing w:before="300" w:after="140"/>
      </w:pPr>
      <w:r>
        <w:rPr>
          <w:rFonts w:ascii="Arial" w:cs="Arial" w:eastAsia="Arial" w:hAnsi="Arial"/>
          <w:b/>
          <w:bCs/>
          <w:color w:val="1A3A5C"/>
          <w:sz w:val="28"/>
          <w:szCs w:val="28"/>
        </w:rPr>
        <w:t xml:space="preserve">6.2 DashboardSkeleton Geometry Contract</w:t>
      </w:r>
    </w:p>
    <w:p>
      <w:pPr>
        <w:pBdr>
          <w:left w:val="single" w:color="1A3A5C" w:sz="16" w:space="4"/>
        </w:pBdr>
        <w:shd w:fill="FAFAFA" w:val="clear"/>
        <w:spacing w:before="120" w:after="120"/>
        <w:ind w:left="360"/>
      </w:pPr>
      <w:r>
        <w:rPr>
          <w:rFonts w:ascii="Arial" w:cs="Arial" w:eastAsia="Arial" w:hAnsi="Arial"/>
          <w:sz w:val="22"/>
          <w:szCs w:val="22"/>
        </w:rPr>
        <w:t xml:space="preserve">📐  </w:t>
      </w:r>
      <w:r>
        <w:rPr>
          <w:rFonts w:ascii="Arial" w:cs="Arial" w:eastAsia="Arial" w:hAnsi="Arial"/>
          <w:b/>
          <w:bCs/>
          <w:color w:val="0A2540"/>
          <w:sz w:val="22"/>
          <w:szCs w:val="22"/>
        </w:rPr>
        <w:t xml:space="preserve">Zero Layout Shift Target:  </w:t>
      </w:r>
      <w:r>
        <w:rPr>
          <w:rFonts w:ascii="Arial" w:cs="Arial" w:eastAsia="Arial" w:hAnsi="Arial"/>
          <w:color w:val="1A1A2E"/>
          <w:sz w:val="22"/>
          <w:szCs w:val="22"/>
        </w:rPr>
        <w:t xml:space="preserve">Every SkeletonBlock dimension must match the real rendered content ±0px. Measure via React Native Profiler frame timeline before shipping. Layout shift destroys user trust at the moment of first data arrival.</w:t>
      </w:r>
    </w:p>
    <w:p>
      <w:pPr>
        <w:spacing w:before="160" w:after="0"/>
      </w:pPr>
    </w:p>
    <w:tbl>
      <w:tblPr>
        <w:tblW w:type="dxa" w:w="10080"/>
        <w:tblBorders>
          <w:top w:val="single" w:color="auto" w:sz="4"/>
          <w:start w:val="single" w:color="auto" w:sz="4"/>
          <w:bottom w:val="single" w:color="auto" w:sz="4"/>
          <w:end w:val="single" w:color="auto" w:sz="4"/>
          <w:insideH w:val="single" w:color="auto" w:sz="4"/>
          <w:insideV w:val="single" w:color="auto" w:sz="4"/>
        </w:tblBorders>
      </w:tblPr>
      <w:tblGrid>
        <w:gridCol w:w="1000"/>
        <w:gridCol w:w="4200"/>
        <w:gridCol w:w="3880"/>
      </w:tblGrid>
      <w:tr>
        <w:trPr>
          <w:tblHeader/>
        </w:trPr>
        <w:tc>
          <w:tcPr>
            <w:tcW w:type="dxa" w:w="100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Zone</w:t>
            </w:r>
          </w:p>
        </w:tc>
        <w:tc>
          <w:tcPr>
            <w:tcW w:type="dxa" w:w="420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Skeleton Specification</w:t>
            </w:r>
          </w:p>
        </w:tc>
        <w:tc>
          <w:tcPr>
            <w:tcW w:type="dxa" w:w="388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Matches Content</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apex</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Semicircle 200×110px (borderRadius 100) + 60%×24px greeting</w:t>
            </w:r>
          </w:p>
        </w:tc>
        <w:tc>
          <w:tcPr>
            <w:tcW w:type="dxa" w:w="3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TaxHealthGauge expanded height + Greeting text line</w:t>
            </w:r>
          </w:p>
        </w:tc>
      </w:tr>
      <w:tr>
        <w:tc>
          <w:tcPr>
            <w:tcW w:type="dxa" w:w="10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signal</w:t>
            </w:r>
          </w:p>
        </w:tc>
        <w:tc>
          <w:tcPr>
            <w:tcW w:type="dxa" w:w="42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3 blocks: 31% width × 72px height, flex row, 8px gap</w:t>
            </w:r>
          </w:p>
        </w:tc>
        <w:tc>
          <w:tcPr>
            <w:tcW w:type="dxa" w:w="38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MetricsRow 3-card layout</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action</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6 blocks: 30% × 64px, flex-wrap 3-col, 6px gap</w:t>
            </w:r>
          </w:p>
        </w:tc>
        <w:tc>
          <w:tcPr>
            <w:tcW w:type="dxa" w:w="3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QuickActionsGrid 3×2 layout</w:t>
            </w:r>
          </w:p>
        </w:tc>
      </w:tr>
      <w:tr>
        <w:tc>
          <w:tcPr>
            <w:tcW w:type="dxa" w:w="10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context</w:t>
            </w:r>
          </w:p>
        </w:tc>
        <w:tc>
          <w:tcPr>
            <w:tcW w:type="dxa" w:w="42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Header: 40%×14px + 2 rows: 100%×52px, 8px gap</w:t>
            </w:r>
          </w:p>
        </w:tc>
        <w:tc>
          <w:tcPr>
            <w:tcW w:type="dxa" w:w="38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Section header + AnomalyCard rows</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ambient</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2 blocks: 48% × 80px, flex row, 8px gap</w:t>
            </w:r>
          </w:p>
        </w:tc>
        <w:tc>
          <w:tcPr>
            <w:tcW w:type="dxa" w:w="3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TrendCharts dual sparkline layout</w:t>
            </w:r>
          </w:p>
        </w:tc>
      </w:tr>
    </w:tbl>
    <w:p>
      <w:pPr>
        <w:spacing w:before="200" w:after="0"/>
      </w:pPr>
    </w:p>
    <w:p>
      <w:pPr>
        <w:pStyle w:val="Heading2"/>
        <w:spacing w:before="300" w:after="140"/>
      </w:pPr>
      <w:r>
        <w:rPr>
          <w:rFonts w:ascii="Arial" w:cs="Arial" w:eastAsia="Arial" w:hAnsi="Arial"/>
          <w:b/>
          <w:bCs/>
          <w:color w:val="1A3A5C"/>
          <w:sz w:val="28"/>
          <w:szCs w:val="28"/>
        </w:rPr>
        <w:t xml:space="preserve">6.3 Gesture Response Budget (UX-08)</w:t>
      </w:r>
    </w:p>
    <w:tbl>
      <w:tblPr>
        <w:tblW w:type="dxa" w:w="10080"/>
        <w:tblBorders>
          <w:top w:val="single" w:color="auto" w:sz="4"/>
          <w:start w:val="single" w:color="auto" w:sz="4"/>
          <w:bottom w:val="single" w:color="auto" w:sz="4"/>
          <w:end w:val="single" w:color="auto" w:sz="4"/>
          <w:insideH w:val="single" w:color="auto" w:sz="4"/>
          <w:insideV w:val="single" w:color="auto" w:sz="4"/>
        </w:tblBorders>
      </w:tblPr>
      <w:tblGrid>
        <w:gridCol w:w="1800"/>
        <w:gridCol w:w="900"/>
        <w:gridCol w:w="1400"/>
        <w:gridCol w:w="5000"/>
      </w:tblGrid>
      <w:tr>
        <w:trPr>
          <w:tblHeader/>
        </w:trPr>
        <w:tc>
          <w:tcPr>
            <w:tcW w:type="dxa" w:w="180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Interaction</w:t>
            </w:r>
          </w:p>
        </w:tc>
        <w:tc>
          <w:tcPr>
            <w:tcW w:type="dxa" w:w="90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Visual Ack</w:t>
            </w:r>
          </w:p>
        </w:tc>
        <w:tc>
          <w:tcPr>
            <w:tcW w:type="dxa" w:w="140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Action Budget</w:t>
            </w:r>
          </w:p>
        </w:tc>
        <w:tc>
          <w:tcPr>
            <w:tcW w:type="dxa" w:w="500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Implementation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Tap gauge</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≤100ms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≤200ms</w:t>
            </w:r>
          </w:p>
        </w:tc>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scale pulse 0.97→1.03→1.00 via withSpring</w:t>
            </w:r>
          </w:p>
        </w:tc>
      </w:tr>
      <w:tr>
        <w:tc>
          <w:tcPr>
            <w:tcW w:type="dxa" w:w="18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Tap metric card</w:t>
            </w:r>
          </w:p>
        </w:tc>
        <w:tc>
          <w:tcPr>
            <w:tcW w:type="dxa" w:w="9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≤100ms</w:t>
            </w:r>
          </w:p>
        </w:tc>
        <w:tc>
          <w:tcPr>
            <w:tcW w:type="dxa" w:w="14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≤150ms</w:t>
            </w:r>
          </w:p>
        </w:tc>
        <w:tc>
          <w:tcPr>
            <w:tcW w:type="dxa" w:w="50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router.push() fires synchronously, no await</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Tap anomaly row</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≤100ms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≤150ms</w:t>
            </w:r>
          </w:p>
        </w:tc>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Optimistic navigation — data loads on next screen</w:t>
            </w:r>
          </w:p>
        </w:tc>
      </w:tr>
      <w:tr>
        <w:tc>
          <w:tcPr>
            <w:tcW w:type="dxa" w:w="18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Tap quick action</w:t>
            </w:r>
          </w:p>
        </w:tc>
        <w:tc>
          <w:tcPr>
            <w:tcW w:type="dxa" w:w="9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≤100ms</w:t>
            </w:r>
          </w:p>
        </w:tc>
        <w:tc>
          <w:tcPr>
            <w:tcW w:type="dxa" w:w="14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≤150ms</w:t>
            </w:r>
          </w:p>
        </w:tc>
        <w:tc>
          <w:tcPr>
            <w:tcW w:type="dxa" w:w="50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router.push() synchronous — C-20 compliance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Pull to refresh</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Haptic at −50px</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≤800ms</w:t>
            </w:r>
          </w:p>
        </w:tc>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expo-haptics, no skeleton re-shown</w:t>
            </w:r>
          </w:p>
        </w:tc>
      </w:tr>
      <w:tr>
        <w:tc>
          <w:tcPr>
            <w:tcW w:type="dxa" w:w="18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Swipe dismiss anomaly</w:t>
            </w:r>
          </w:p>
        </w:tc>
        <w:tc>
          <w:tcPr>
            <w:tcW w:type="dxa" w:w="9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0ms (gesture)</w:t>
            </w:r>
          </w:p>
        </w:tc>
        <w:tc>
          <w:tcPr>
            <w:tcW w:type="dxa" w:w="14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Instant</w:t>
            </w:r>
          </w:p>
        </w:tc>
        <w:tc>
          <w:tcPr>
            <w:tcW w:type="dxa" w:w="50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Undo toast 3s via Sentry breadcrumb</w:t>
            </w:r>
          </w:p>
        </w:tc>
      </w:tr>
    </w:tbl>
    <w:p>
      <w:pPr>
        <w:spacing w:before="200" w:after="0"/>
      </w:pPr>
    </w:p>
    <w:p>
      <w:pPr>
        <w:pStyle w:val="Heading2"/>
        <w:spacing w:before="300" w:after="140"/>
      </w:pPr>
      <w:r>
        <w:rPr>
          <w:rFonts w:ascii="Arial" w:cs="Arial" w:eastAsia="Arial" w:hAnsi="Arial"/>
          <w:b/>
          <w:bCs/>
          <w:color w:val="1A3A5C"/>
          <w:sz w:val="28"/>
          <w:szCs w:val="28"/>
        </w:rPr>
        <w:t xml:space="preserve">6.4 TaxAcademy Contextual Entry Points</w:t>
      </w:r>
    </w:p>
    <w:p>
      <w:pPr>
        <w:spacing w:before="80" w:after="80"/>
      </w:pPr>
      <w:r>
        <w:rPr>
          <w:rFonts w:ascii="Arial" w:cs="Arial" w:eastAsia="Arial" w:hAnsi="Arial"/>
          <w:color w:val="1A1A2E"/>
          <w:sz w:val="22"/>
          <w:szCs w:val="22"/>
        </w:rPr>
        <w:t xml:space="preserve">TaxAcademy must not be a siloed screen. Every entry point surfaces the right lesson at the exact moment the user needs it, reducing tax filing errors for non-expert Nigerian SME users.</w:t>
      </w:r>
    </w:p>
    <w:p>
      <w:pPr>
        <w:spacing w:before="160" w:after="0"/>
      </w:pPr>
    </w:p>
    <w:tbl>
      <w:tblPr>
        <w:tblW w:type="dxa" w:w="10080"/>
        <w:tblBorders>
          <w:top w:val="single" w:color="auto" w:sz="4"/>
          <w:start w:val="single" w:color="auto" w:sz="4"/>
          <w:bottom w:val="single" w:color="auto" w:sz="4"/>
          <w:end w:val="single" w:color="auto" w:sz="4"/>
          <w:insideH w:val="single" w:color="auto" w:sz="4"/>
          <w:insideV w:val="single" w:color="auto" w:sz="4"/>
        </w:tblBorders>
      </w:tblPr>
      <w:tblGrid>
        <w:gridCol w:w="2400"/>
        <w:gridCol w:w="1800"/>
        <w:gridCol w:w="2000"/>
        <w:gridCol w:w="2880"/>
      </w:tblGrid>
      <w:tr>
        <w:trPr>
          <w:tblHeader/>
        </w:trPr>
        <w:tc>
          <w:tcPr>
            <w:tcW w:type="dxa" w:w="240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Location</w:t>
            </w:r>
          </w:p>
        </w:tc>
        <w:tc>
          <w:tcPr>
            <w:tcW w:type="dxa" w:w="180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Trigger</w:t>
            </w:r>
          </w:p>
        </w:tc>
        <w:tc>
          <w:tcPr>
            <w:tcW w:type="dxa" w:w="200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Lesson</w:t>
            </w:r>
          </w:p>
        </w:tc>
        <w:tc>
          <w:tcPr>
            <w:tcW w:type="dxa" w:w="288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UI Pattern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Anomaly card — WHT signal</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Tap info icon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Lesson 7: WHT rates</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Bottom sheet, dismissible</w:t>
            </w:r>
          </w:p>
        </w:tc>
      </w:tr>
      <w:tr>
        <w:tc>
          <w:tcPr>
            <w:tcW w:type="dxa" w:w="24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VAT wizard step 1 — first visit</w:t>
            </w:r>
          </w:p>
        </w:tc>
        <w:tc>
          <w:tcPr>
            <w:tcW w:type="dxa" w:w="18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Auto-show on mount</w:t>
            </w:r>
          </w:p>
        </w:tc>
        <w:tc>
          <w:tcPr>
            <w:tcW w:type="dxa" w:w="20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Lesson 4: VAT basics</w:t>
            </w:r>
          </w:p>
        </w:tc>
        <w:tc>
          <w:tcPr>
            <w:tcW w:type="dxa" w:w="28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Nudge card in ambient zone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Onboarding step 2 — TIN field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On focus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Lesson 1: NRS registration</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Tooltip popover</w:t>
            </w:r>
          </w:p>
        </w:tc>
      </w:tr>
      <w:tr>
        <w:tc>
          <w:tcPr>
            <w:tcW w:type="dxa" w:w="24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Onboarding step 3 — info icons</w:t>
            </w:r>
          </w:p>
        </w:tc>
        <w:tc>
          <w:tcPr>
            <w:tcW w:type="dxa" w:w="18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Tap obligation card</w:t>
            </w:r>
          </w:p>
        </w:tc>
        <w:tc>
          <w:tcPr>
            <w:tcW w:type="dxa" w:w="20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Lesson 2: Nigerian tax types</w:t>
            </w:r>
          </w:p>
        </w:tc>
        <w:tc>
          <w:tcPr>
            <w:tcW w:type="dxa" w:w="28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Inline card expansion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Dashboard — new user, no data</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Empty state mount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Lesson 1: NRS registration</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Full-screen CTA</w:t>
            </w:r>
          </w:p>
        </w:tc>
      </w:tr>
      <w:tr>
        <w:tc>
          <w:tcPr>
            <w:tcW w:type="dxa" w:w="24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PAYE payroll — first run</w:t>
            </w:r>
          </w:p>
        </w:tc>
        <w:tc>
          <w:tcPr>
            <w:tcW w:type="dxa" w:w="18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Component mount</w:t>
            </w:r>
          </w:p>
        </w:tc>
        <w:tc>
          <w:tcPr>
            <w:tcW w:type="dxa" w:w="20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Lesson 9: PAYE filing</w:t>
            </w:r>
          </w:p>
        </w:tc>
        <w:tc>
          <w:tcPr>
            <w:tcW w:type="dxa" w:w="28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Coach mark overlay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Document vault — first upload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Upload success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Lesson 11: 5-year retention</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Toast notification</w:t>
            </w:r>
          </w:p>
        </w:tc>
      </w:tr>
    </w:tbl>
    <w:p>
      <w:r>
        <w:br w:type="page"/>
      </w:r>
    </w:p>
    <w:p>
      <w:pPr>
        <w:pStyle w:val="Heading1"/>
        <w:spacing w:before="400" w:after="200"/>
      </w:pPr>
      <w:r>
        <w:rPr>
          <w:rFonts w:ascii="Arial" w:cs="Arial" w:eastAsia="Arial" w:hAnsi="Arial"/>
          <w:b/>
          <w:bCs/>
          <w:color w:val="0A2540"/>
          <w:sz w:val="36"/>
          <w:szCs w:val="36"/>
        </w:rPr>
        <w:t xml:space="preserve">7. EAS Build Optimisation</w:t>
      </w:r>
    </w:p>
    <w:p>
      <w:pPr>
        <w:pStyle w:val="Heading2"/>
        <w:spacing w:before="300" w:after="140"/>
      </w:pPr>
      <w:r>
        <w:rPr>
          <w:rFonts w:ascii="Arial" w:cs="Arial" w:eastAsia="Arial" w:hAnsi="Arial"/>
          <w:b/>
          <w:bCs/>
          <w:color w:val="1A3A5C"/>
          <w:sz w:val="28"/>
          <w:szCs w:val="28"/>
        </w:rPr>
        <w:t xml:space="preserve">7.1 eas.json Profile Strategy</w:t>
      </w:r>
    </w:p>
    <w:tbl>
      <w:tblPr>
        <w:tblW w:type="dxa" w:w="10080"/>
        <w:tblBorders>
          <w:top w:val="single" w:color="auto" w:sz="4"/>
          <w:start w:val="single" w:color="auto" w:sz="4"/>
          <w:bottom w:val="single" w:color="auto" w:sz="4"/>
          <w:end w:val="single" w:color="auto" w:sz="4"/>
          <w:insideH w:val="single" w:color="auto" w:sz="4"/>
          <w:insideV w:val="single" w:color="auto" w:sz="4"/>
        </w:tblBorders>
      </w:tblPr>
      <w:tblGrid>
        <w:gridCol w:w="1400"/>
        <w:gridCol w:w="1400"/>
        <w:gridCol w:w="2800"/>
        <w:gridCol w:w="3480"/>
      </w:tblGrid>
      <w:tr>
        <w:trPr>
          <w:tblHeader/>
        </w:trPr>
        <w:tc>
          <w:tcPr>
            <w:tcW w:type="dxa" w:w="140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Profile</w:t>
            </w:r>
          </w:p>
        </w:tc>
        <w:tc>
          <w:tcPr>
            <w:tcW w:type="dxa" w:w="140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Output</w:t>
            </w:r>
          </w:p>
        </w:tc>
        <w:tc>
          <w:tcPr>
            <w:tcW w:type="dxa" w:w="280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Use Case</w:t>
            </w:r>
          </w:p>
        </w:tc>
        <w:tc>
          <w:tcPr>
            <w:tcW w:type="dxa" w:w="348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Key Cache Key</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development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APK (debug)</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Local testing, bypasses EAS queue with --local</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hashFiles(yarn.lock) + hashFiles(mobile/package.json)</w:t>
            </w:r>
          </w:p>
        </w:tc>
      </w:tr>
      <w:tr>
        <w:tc>
          <w:tcPr>
            <w:tcW w:type="dxa" w:w="14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staging</w:t>
            </w:r>
          </w:p>
        </w:tc>
        <w:tc>
          <w:tcPr>
            <w:tcW w:type="dxa" w:w="14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APK (release)</w:t>
            </w:r>
          </w:p>
        </w:tc>
        <w:tc>
          <w:tcPr>
            <w:tcW w:type="dxa" w:w="28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CI automated build, internal distribution</w:t>
            </w:r>
          </w:p>
        </w:tc>
        <w:tc>
          <w:tcPr>
            <w:tcW w:type="dxa" w:w="34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hashFiles(yarn.lock) + hashFiles(mobile/app.json)</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production</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AAB (Play Store)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Store submission via EAS Submit</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hashFiles(yarn.lock) + hashFiles(contracts/index.ts)</w:t>
            </w:r>
          </w:p>
        </w:tc>
      </w:tr>
    </w:tbl>
    <w:p>
      <w:pPr>
        <w:spacing w:before="160" w:after="0"/>
      </w:pPr>
    </w:p>
    <w:p>
      <w:pPr>
        <w:pBdr>
          <w:left w:val="single" w:color="1DB954" w:sz="16" w:space="4"/>
        </w:pBdr>
        <w:shd w:fill="FAFAFA" w:val="clear"/>
        <w:spacing w:before="120" w:after="120"/>
        <w:ind w:left="360"/>
      </w:pPr>
      <w:r>
        <w:rPr>
          <w:rFonts w:ascii="Arial" w:cs="Arial" w:eastAsia="Arial" w:hAnsi="Arial"/>
          <w:sz w:val="22"/>
          <w:szCs w:val="22"/>
        </w:rPr>
        <w:t xml:space="preserve">✓  </w:t>
      </w:r>
      <w:r>
        <w:rPr>
          <w:rFonts w:ascii="Arial" w:cs="Arial" w:eastAsia="Arial" w:hAnsi="Arial"/>
          <w:b/>
          <w:bCs/>
          <w:color w:val="0A2540"/>
          <w:sz w:val="22"/>
          <w:szCs w:val="22"/>
        </w:rPr>
        <w:t xml:space="preserve">compileSdkVersion = 36 in both staging and production profiles.  </w:t>
      </w:r>
      <w:r>
        <w:rPr>
          <w:rFonts w:ascii="Arial" w:cs="Arial" w:eastAsia="Arial" w:hAnsi="Arial"/>
          <w:color w:val="1A1A2E"/>
          <w:sz w:val="22"/>
          <w:szCs w:val="22"/>
        </w:rPr>
        <w:t xml:space="preserve">The CI gate checks: grep -c '"compileSdkVersion": 36' mobile/eas.json must return ≥ 2. A value of 35 or below causes AAR incompatibility failures on Android 14+ devices.</w:t>
      </w:r>
    </w:p>
    <w:p>
      <w:pPr>
        <w:spacing w:before="200" w:after="0"/>
      </w:pPr>
    </w:p>
    <w:p>
      <w:pPr>
        <w:pStyle w:val="Heading2"/>
        <w:spacing w:before="300" w:after="140"/>
      </w:pPr>
      <w:r>
        <w:rPr>
          <w:rFonts w:ascii="Arial" w:cs="Arial" w:eastAsia="Arial" w:hAnsi="Arial"/>
          <w:b/>
          <w:bCs/>
          <w:color w:val="1A3A5C"/>
          <w:sz w:val="28"/>
          <w:szCs w:val="28"/>
        </w:rPr>
        <w:t xml:space="preserve">7.2 OTA Update Policy</w:t>
      </w:r>
    </w:p>
    <w:tbl>
      <w:tblPr>
        <w:tblW w:type="dxa" w:w="10080"/>
        <w:tblBorders>
          <w:top w:val="single" w:color="auto" w:sz="4"/>
          <w:start w:val="single" w:color="auto" w:sz="4"/>
          <w:bottom w:val="single" w:color="auto" w:sz="4"/>
          <w:end w:val="single" w:color="auto" w:sz="4"/>
          <w:insideH w:val="single" w:color="auto" w:sz="4"/>
          <w:insideV w:val="single" w:color="auto" w:sz="4"/>
        </w:tblBorders>
      </w:tblPr>
      <w:tblGrid>
        <w:gridCol w:w="3000"/>
        <w:gridCol w:w="1200"/>
        <w:gridCol w:w="4880"/>
      </w:tblGrid>
      <w:tr>
        <w:trPr>
          <w:tblHeader/>
        </w:trPr>
        <w:tc>
          <w:tcPr>
            <w:tcW w:type="dxa" w:w="300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Scenario</w:t>
            </w:r>
          </w:p>
        </w:tc>
        <w:tc>
          <w:tcPr>
            <w:tcW w:type="dxa" w:w="120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Use OTA?</w:t>
            </w:r>
          </w:p>
        </w:tc>
        <w:tc>
          <w:tcPr>
            <w:tcW w:type="dxa" w:w="488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Rationale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Pidgin copy corrections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Yes</w:t>
            </w:r>
          </w:p>
        </w:tc>
        <w:tc>
          <w:tcPr>
            <w:tcW w:type="dxa" w:w="4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JS-only, no native change</w:t>
            </w:r>
          </w:p>
        </w:tc>
      </w:tr>
      <w:tr>
        <w:tc>
          <w:tcPr>
            <w:tcW w:type="dxa" w:w="30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NTA 2025 tax rate adjustment</w:t>
            </w:r>
          </w:p>
        </w:tc>
        <w:tc>
          <w:tcPr>
            <w:tcW w:type="dxa" w:w="12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Yes</w:t>
            </w:r>
          </w:p>
        </w:tc>
        <w:tc>
          <w:tcPr>
            <w:tcW w:type="dxa" w:w="48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contracts/ is pure JS/TS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UI tweak or animation fix</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Yes</w:t>
            </w:r>
          </w:p>
        </w:tc>
        <w:tc>
          <w:tcPr>
            <w:tcW w:type="dxa" w:w="4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JS-only bundle change</w:t>
            </w:r>
          </w:p>
        </w:tc>
      </w:tr>
      <w:tr>
        <w:tc>
          <w:tcPr>
            <w:tcW w:type="dxa" w:w="30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Expo SDK version upgrade</w:t>
            </w:r>
          </w:p>
        </w:tc>
        <w:tc>
          <w:tcPr>
            <w:tcW w:type="dxa" w:w="12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No</w:t>
            </w:r>
          </w:p>
        </w:tc>
        <w:tc>
          <w:tcPr>
            <w:tcW w:type="dxa" w:w="48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Native layer changes require full EAS build</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New native module added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No</w:t>
            </w:r>
          </w:p>
        </w:tc>
        <w:tc>
          <w:tcPr>
            <w:tcW w:type="dxa" w:w="4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Must go through EAS build + Play Store review</w:t>
            </w:r>
          </w:p>
        </w:tc>
      </w:tr>
      <w:tr>
        <w:tc>
          <w:tcPr>
            <w:tcW w:type="dxa" w:w="30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Database schema migration</w:t>
            </w:r>
          </w:p>
        </w:tc>
        <w:tc>
          <w:tcPr>
            <w:tcW w:type="dxa" w:w="12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No</w:t>
            </w:r>
          </w:p>
        </w:tc>
        <w:tc>
          <w:tcPr>
            <w:tcW w:type="dxa" w:w="48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Server-side — deploy backend, not OTA</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Push notification cert renewal</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No</w:t>
            </w:r>
          </w:p>
        </w:tc>
        <w:tc>
          <w:tcPr>
            <w:tcW w:type="dxa" w:w="4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Requires app.json update + full build</w:t>
            </w:r>
          </w:p>
        </w:tc>
      </w:tr>
    </w:tbl>
    <w:p>
      <w:pPr>
        <w:spacing w:before="200" w:after="0"/>
      </w:pPr>
    </w:p>
    <w:p>
      <w:pPr>
        <w:pStyle w:val="Heading2"/>
        <w:spacing w:before="300" w:after="140"/>
      </w:pPr>
      <w:r>
        <w:rPr>
          <w:rFonts w:ascii="Arial" w:cs="Arial" w:eastAsia="Arial" w:hAnsi="Arial"/>
          <w:b/>
          <w:bCs/>
          <w:color w:val="1A3A5C"/>
          <w:sz w:val="28"/>
          <w:szCs w:val="28"/>
        </w:rPr>
        <w:t xml:space="preserve">7.3 Metro Bundle Optimisations</w:t>
      </w:r>
    </w:p>
    <w:tbl>
      <w:tblPr>
        <w:tblW w:type="dxa" w:w="10080"/>
        <w:tblBorders>
          <w:top w:val="single" w:color="auto" w:sz="4"/>
          <w:start w:val="single" w:color="auto" w:sz="4"/>
          <w:bottom w:val="single" w:color="auto" w:sz="4"/>
          <w:end w:val="single" w:color="auto" w:sz="4"/>
          <w:insideH w:val="single" w:color="auto" w:sz="4"/>
          <w:insideV w:val="single" w:color="auto" w:sz="4"/>
        </w:tblBorders>
      </w:tblPr>
      <w:tblGrid>
        <w:gridCol w:w="2800"/>
        <w:gridCol w:w="2400"/>
        <w:gridCol w:w="3880"/>
      </w:tblGrid>
      <w:tr>
        <w:trPr>
          <w:tblHeader/>
        </w:trPr>
        <w:tc>
          <w:tcPr>
            <w:tcW w:type="dxa" w:w="280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Optimisation</w:t>
            </w:r>
          </w:p>
        </w:tc>
        <w:tc>
          <w:tcPr>
            <w:tcW w:type="dxa" w:w="240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Config Location</w:t>
            </w:r>
          </w:p>
        </w:tc>
        <w:tc>
          <w:tcPr>
            <w:tcW w:type="dxa" w:w="388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Effect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blockList: backend/, admin/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metro.config.js resolver.blockList</w:t>
            </w:r>
          </w:p>
        </w:tc>
        <w:tc>
          <w:tcPr>
            <w:tcW w:type="dxa" w:w="3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Prevents server code from entering mobile bundle</w:t>
            </w:r>
          </w:p>
        </w:tc>
      </w:tr>
      <w:tr>
        <w:tc>
          <w:tcPr>
            <w:tcW w:type="dxa" w:w="28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drop_console in production</w:t>
            </w:r>
          </w:p>
        </w:tc>
        <w:tc>
          <w:tcPr>
            <w:tcW w:type="dxa" w:w="24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metro.config.js minifierConfig.compress</w:t>
            </w:r>
          </w:p>
        </w:tc>
        <w:tc>
          <w:tcPr>
            <w:tcW w:type="dxa" w:w="38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Removes console.log — reduces bundle + prevents data leaks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lodash → lodash-es alias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metro.config.js resolver.resolveRequest</w:t>
            </w:r>
          </w:p>
        </w:tc>
        <w:tc>
          <w:tcPr>
            <w:tcW w:type="dxa" w:w="3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Tree-shakeable lodash reduces bundle by ~70KB</w:t>
            </w:r>
          </w:p>
        </w:tc>
      </w:tr>
      <w:tr>
        <w:tc>
          <w:tcPr>
            <w:tcW w:type="dxa" w:w="28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React.memo on AnomalyCard</w:t>
            </w:r>
          </w:p>
        </w:tc>
        <w:tc>
          <w:tcPr>
            <w:tcW w:type="dxa" w:w="24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Component definition</w:t>
            </w:r>
          </w:p>
        </w:tc>
        <w:tc>
          <w:tcPr>
            <w:tcW w:type="dxa" w:w="38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Prevents re-render on every dashboard refresh</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Lazy import TaxAcademyScreen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Screen router</w:t>
            </w:r>
          </w:p>
        </w:tc>
        <w:tc>
          <w:tcPr>
            <w:tcW w:type="dxa" w:w="3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Not in critical path — deferred until first navigation</w:t>
            </w:r>
          </w:p>
        </w:tc>
      </w:tr>
      <w:tr>
        <w:tc>
          <w:tcPr>
            <w:tcW w:type="dxa" w:w="28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expo-image for remote content</w:t>
            </w:r>
          </w:p>
        </w:tc>
        <w:tc>
          <w:tcPr>
            <w:tcW w:type="dxa" w:w="24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All Image components</w:t>
            </w:r>
          </w:p>
        </w:tc>
        <w:tc>
          <w:tcPr>
            <w:tcW w:type="dxa" w:w="38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WebP + blur placeholder + memory-disk cache</w:t>
            </w:r>
          </w:p>
        </w:tc>
      </w:tr>
    </w:tbl>
    <w:p>
      <w:r>
        <w:br w:type="page"/>
      </w:r>
    </w:p>
    <w:p>
      <w:pPr>
        <w:pStyle w:val="Heading1"/>
        <w:spacing w:before="400" w:after="200"/>
      </w:pPr>
      <w:r>
        <w:rPr>
          <w:rFonts w:ascii="Arial" w:cs="Arial" w:eastAsia="Arial" w:hAnsi="Arial"/>
          <w:b/>
          <w:bCs/>
          <w:color w:val="0A2540"/>
          <w:sz w:val="36"/>
          <w:szCs w:val="36"/>
        </w:rPr>
        <w:t xml:space="preserve">8. Security Hardening</w:t>
      </w:r>
    </w:p>
    <w:p>
      <w:pPr>
        <w:pStyle w:val="Heading2"/>
        <w:spacing w:before="300" w:after="140"/>
      </w:pPr>
      <w:r>
        <w:rPr>
          <w:rFonts w:ascii="Arial" w:cs="Arial" w:eastAsia="Arial" w:hAnsi="Arial"/>
          <w:b/>
          <w:bCs/>
          <w:color w:val="1A3A5C"/>
          <w:sz w:val="28"/>
          <w:szCs w:val="28"/>
        </w:rPr>
        <w:t xml:space="preserve">8.1 Authentication &amp; Session</w:t>
      </w:r>
    </w:p>
    <w:tbl>
      <w:tblPr>
        <w:tblW w:type="dxa" w:w="10080"/>
        <w:tblBorders>
          <w:top w:val="single" w:color="auto" w:sz="4"/>
          <w:start w:val="single" w:color="auto" w:sz="4"/>
          <w:bottom w:val="single" w:color="auto" w:sz="4"/>
          <w:end w:val="single" w:color="auto" w:sz="4"/>
          <w:insideH w:val="single" w:color="auto" w:sz="4"/>
          <w:insideV w:val="single" w:color="auto" w:sz="4"/>
        </w:tblBorders>
      </w:tblPr>
      <w:tblGrid>
        <w:gridCol w:w="2400"/>
        <w:gridCol w:w="4600"/>
        <w:gridCol w:w="1080"/>
      </w:tblGrid>
      <w:tr>
        <w:trPr>
          <w:tblHeader/>
        </w:trPr>
        <w:tc>
          <w:tcPr>
            <w:tcW w:type="dxa" w:w="240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Control</w:t>
            </w:r>
          </w:p>
        </w:tc>
        <w:tc>
          <w:tcPr>
            <w:tcW w:type="dxa" w:w="460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Specification</w:t>
            </w:r>
          </w:p>
        </w:tc>
        <w:tc>
          <w:tcPr>
            <w:tcW w:type="dxa" w:w="108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Status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JWT access token lifetime</w:t>
            </w:r>
          </w:p>
        </w:tc>
        <w:tc>
          <w:tcPr>
            <w:tcW w:type="dxa" w:w="4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15 minutes — short-lived to limit exposure</w:t>
            </w:r>
          </w:p>
        </w:tc>
        <w:tc>
          <w:tcPr>
            <w:tcW w:type="dxa" w:w="1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Required</w:t>
            </w:r>
          </w:p>
        </w:tc>
      </w:tr>
      <w:tr>
        <w:tc>
          <w:tcPr>
            <w:tcW w:type="dxa" w:w="24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JWT refresh token lifetime</w:t>
            </w:r>
          </w:p>
        </w:tc>
        <w:tc>
          <w:tcPr>
            <w:tcW w:type="dxa" w:w="46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7 days, single-use, rotation on each use</w:t>
            </w:r>
          </w:p>
        </w:tc>
        <w:tc>
          <w:tcPr>
            <w:tcW w:type="dxa" w:w="10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Required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JWT secret rotation</w:t>
            </w:r>
          </w:p>
        </w:tc>
        <w:tc>
          <w:tcPr>
            <w:tcW w:type="dxa" w:w="4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256-bit random, rotated every 90 days via AWS SSM</w:t>
            </w:r>
          </w:p>
        </w:tc>
        <w:tc>
          <w:tcPr>
            <w:tcW w:type="dxa" w:w="1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Required</w:t>
            </w:r>
          </w:p>
        </w:tc>
      </w:tr>
      <w:tr>
        <w:tc>
          <w:tcPr>
            <w:tcW w:type="dxa" w:w="24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Session invalidation</w:t>
            </w:r>
          </w:p>
        </w:tc>
        <w:tc>
          <w:tcPr>
            <w:tcW w:type="dxa" w:w="46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redis.setex(role_version, 90 days TTL) on role change</w:t>
            </w:r>
          </w:p>
        </w:tc>
        <w:tc>
          <w:tcPr>
            <w:tcW w:type="dxa" w:w="10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Required — TTL is critical</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MFA for admin users</w:t>
            </w:r>
          </w:p>
        </w:tc>
        <w:tc>
          <w:tcPr>
            <w:tcW w:type="dxa" w:w="4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TOTP required for admin role (Google Authenticator)</w:t>
            </w:r>
          </w:p>
        </w:tc>
        <w:tc>
          <w:tcPr>
            <w:tcW w:type="dxa" w:w="1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Recommended</w:t>
            </w:r>
          </w:p>
        </w:tc>
      </w:tr>
      <w:tr>
        <w:tc>
          <w:tcPr>
            <w:tcW w:type="dxa" w:w="24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Password policy</w:t>
            </w:r>
          </w:p>
        </w:tc>
        <w:tc>
          <w:tcPr>
            <w:tcW w:type="dxa" w:w="46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Minimum 12 chars, HaveIBeenPwned API breach check</w:t>
            </w:r>
          </w:p>
        </w:tc>
        <w:tc>
          <w:tcPr>
            <w:tcW w:type="dxa" w:w="10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Required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Edge Runtime JWT</w:t>
            </w:r>
          </w:p>
        </w:tc>
        <w:tc>
          <w:tcPr>
            <w:tcW w:type="dxa" w:w="4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jose jwtVerify() — jsonwebtoken does NOT work in Vercel Edge</w:t>
            </w:r>
          </w:p>
        </w:tc>
        <w:tc>
          <w:tcPr>
            <w:tcW w:type="dxa" w:w="1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Fixed in V11.0</w:t>
            </w:r>
          </w:p>
        </w:tc>
      </w:tr>
    </w:tbl>
    <w:p>
      <w:pPr>
        <w:spacing w:before="200" w:after="0"/>
      </w:pPr>
    </w:p>
    <w:p>
      <w:pPr>
        <w:pStyle w:val="Heading2"/>
        <w:spacing w:before="300" w:after="140"/>
      </w:pPr>
      <w:r>
        <w:rPr>
          <w:rFonts w:ascii="Arial" w:cs="Arial" w:eastAsia="Arial" w:hAnsi="Arial"/>
          <w:b/>
          <w:bCs/>
          <w:color w:val="1A3A5C"/>
          <w:sz w:val="28"/>
          <w:szCs w:val="28"/>
        </w:rPr>
        <w:t xml:space="preserve">8.2 API Security</w:t>
      </w:r>
    </w:p>
    <w:tbl>
      <w:tblPr>
        <w:tblW w:type="dxa" w:w="10080"/>
        <w:tblBorders>
          <w:top w:val="single" w:color="auto" w:sz="4"/>
          <w:start w:val="single" w:color="auto" w:sz="4"/>
          <w:bottom w:val="single" w:color="auto" w:sz="4"/>
          <w:end w:val="single" w:color="auto" w:sz="4"/>
          <w:insideH w:val="single" w:color="auto" w:sz="4"/>
          <w:insideV w:val="single" w:color="auto" w:sz="4"/>
        </w:tblBorders>
      </w:tblPr>
      <w:tblGrid>
        <w:gridCol w:w="1800"/>
        <w:gridCol w:w="3600"/>
        <w:gridCol w:w="3680"/>
      </w:tblGrid>
      <w:tr>
        <w:trPr>
          <w:tblHeader/>
        </w:trPr>
        <w:tc>
          <w:tcPr>
            <w:tcW w:type="dxa" w:w="180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Control</w:t>
            </w:r>
          </w:p>
        </w:tc>
        <w:tc>
          <w:tcPr>
            <w:tcW w:type="dxa" w:w="360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Implementation</w:t>
            </w:r>
          </w:p>
        </w:tc>
        <w:tc>
          <w:tcPr>
            <w:tcW w:type="dxa" w:w="368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Critical Notes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Helmet CSP</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frameAncestors "none", upgradeInsecureRequests</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Prevents clickjacking and mixed content</w:t>
            </w:r>
          </w:p>
        </w:tc>
      </w:tr>
      <w:tr>
        <w:tc>
          <w:tcPr>
            <w:tcW w:type="dxa" w:w="18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CORS allowlist</w:t>
            </w:r>
          </w:p>
        </w:tc>
        <w:tc>
          <w:tcPr>
            <w:tcW w:type="dxa" w:w="36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taxbridge.vercel.app + app.taxbridge.ng only</w:t>
            </w:r>
          </w:p>
        </w:tc>
        <w:tc>
          <w:tcPr>
            <w:tcW w:type="dxa" w:w="36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Any unlisted origin receives 403</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Global rate limit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100 req/min per IP (Cloudflare Worker)</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Prevents distributed credential stuffing</w:t>
            </w:r>
          </w:p>
        </w:tc>
      </w:tr>
      <w:tr>
        <w:tc>
          <w:tcPr>
            <w:tcW w:type="dxa" w:w="18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Per-endpoint limit</w:t>
            </w:r>
          </w:p>
        </w:tc>
        <w:tc>
          <w:tcPr>
            <w:tcW w:type="dxa" w:w="36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30 req/min per user, 10/min for aggregations</w:t>
            </w:r>
          </w:p>
        </w:tc>
        <w:tc>
          <w:tcPr>
            <w:tcW w:type="dxa" w:w="36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Express middleware after authentication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Webhook HMAC</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rawBody.toString("utf8") + crypto.timingSafeEqual</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JSON.stringify(Buffer) always produces wrong HMAC</w:t>
            </w:r>
          </w:p>
        </w:tc>
      </w:tr>
      <w:tr>
        <w:tc>
          <w:tcPr>
            <w:tcW w:type="dxa" w:w="18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Input validation</w:t>
            </w:r>
          </w:p>
        </w:tc>
        <w:tc>
          <w:tcPr>
            <w:tcW w:type="dxa" w:w="36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Zod on all request bodies — .issues not .errors</w:t>
            </w:r>
          </w:p>
        </w:tc>
        <w:tc>
          <w:tcPr>
            <w:tcW w:type="dxa" w:w="36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.errors is a V10.2 bug causing runtime TypeError</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SQL injection</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Prisma parameterised queries — (prisma as any).model</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Zero raw string interpolation in queries</w:t>
            </w:r>
          </w:p>
        </w:tc>
      </w:tr>
      <w:tr>
        <w:tc>
          <w:tcPr>
            <w:tcW w:type="dxa" w:w="18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trust proxy: 1</w:t>
            </w:r>
          </w:p>
        </w:tc>
        <w:tc>
          <w:tcPr>
            <w:tcW w:type="dxa" w:w="36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app.set("trust proxy", 1) in app.ts</w:t>
            </w:r>
          </w:p>
        </w:tc>
        <w:tc>
          <w:tcPr>
            <w:tcW w:type="dxa" w:w="36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Required for accurate req.ip behind Cloudflare+Render</w:t>
            </w:r>
          </w:p>
        </w:tc>
      </w:tr>
    </w:tbl>
    <w:p>
      <w:pPr>
        <w:spacing w:before="200" w:after="0"/>
      </w:pPr>
    </w:p>
    <w:p>
      <w:pPr>
        <w:pStyle w:val="Heading2"/>
        <w:spacing w:before="300" w:after="140"/>
      </w:pPr>
      <w:r>
        <w:rPr>
          <w:rFonts w:ascii="Arial" w:cs="Arial" w:eastAsia="Arial" w:hAnsi="Arial"/>
          <w:b/>
          <w:bCs/>
          <w:color w:val="1A3A5C"/>
          <w:sz w:val="28"/>
          <w:szCs w:val="28"/>
        </w:rPr>
        <w:t xml:space="preserve">8.3 PII / Data Protection</w:t>
      </w:r>
    </w:p>
    <w:tbl>
      <w:tblPr>
        <w:tblW w:type="dxa" w:w="10080"/>
        <w:tblBorders>
          <w:top w:val="single" w:color="auto" w:sz="4"/>
          <w:start w:val="single" w:color="auto" w:sz="4"/>
          <w:bottom w:val="single" w:color="auto" w:sz="4"/>
          <w:end w:val="single" w:color="auto" w:sz="4"/>
          <w:insideH w:val="single" w:color="auto" w:sz="4"/>
          <w:insideV w:val="single" w:color="auto" w:sz="4"/>
        </w:tblBorders>
      </w:tblPr>
      <w:tblGrid>
        <w:gridCol w:w="2400"/>
        <w:gridCol w:w="4200"/>
        <w:gridCol w:w="2480"/>
      </w:tblGrid>
      <w:tr>
        <w:trPr>
          <w:tblHeader/>
        </w:trPr>
        <w:tc>
          <w:tcPr>
            <w:tcW w:type="dxa" w:w="240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Control</w:t>
            </w:r>
          </w:p>
        </w:tc>
        <w:tc>
          <w:tcPr>
            <w:tcW w:type="dxa" w:w="420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Specification</w:t>
            </w:r>
          </w:p>
        </w:tc>
        <w:tc>
          <w:tcPr>
            <w:tcW w:type="dxa" w:w="248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NDPC Requirement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Sentry PII scrubbing</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BVN (11-digit) → ACCT (10-digit) → TIN (8-digit), ordered by length</w:t>
            </w:r>
          </w:p>
        </w:tc>
        <w:tc>
          <w:tcPr>
            <w:tcW w:type="dxa" w:w="2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Yes — §28 data minimisation</w:t>
            </w:r>
          </w:p>
        </w:tc>
      </w:tr>
      <w:tr>
        <w:tc>
          <w:tcPr>
            <w:tcW w:type="dxa" w:w="24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AuditLog immutability</w:t>
            </w:r>
          </w:p>
        </w:tc>
        <w:tc>
          <w:tcPr>
            <w:tcW w:type="dxa" w:w="42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No updatedAt field on AuditLog model — append-only contract</w:t>
            </w:r>
          </w:p>
        </w:tc>
        <w:tc>
          <w:tcPr>
            <w:tcW w:type="dxa" w:w="24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Yes — §29 audit trail</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NDPC data export</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POST /api/v2/audit/export — owner role minimum</w:t>
            </w:r>
          </w:p>
        </w:tc>
        <w:tc>
          <w:tcPr>
            <w:tcW w:type="dxa" w:w="2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Yes — §30 right to access</w:t>
            </w:r>
          </w:p>
        </w:tc>
      </w:tr>
      <w:tr>
        <w:tc>
          <w:tcPr>
            <w:tcW w:type="dxa" w:w="24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Document vault encryption</w:t>
            </w:r>
          </w:p>
        </w:tc>
        <w:tc>
          <w:tcPr>
            <w:tcW w:type="dxa" w:w="42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AES-256-GCM, per-user keys in AWS KMS, annual rotation</w:t>
            </w:r>
          </w:p>
        </w:tc>
        <w:tc>
          <w:tcPr>
            <w:tcW w:type="dxa" w:w="24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Recommended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Data residency</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Cloudflare routing: NRS payloads restricted to Nigerian edge</w:t>
            </w:r>
          </w:p>
        </w:tc>
        <w:tc>
          <w:tcPr>
            <w:tcW w:type="dxa" w:w="2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Yes — NG data sovereignty</w:t>
            </w:r>
          </w:p>
        </w:tc>
      </w:tr>
      <w:tr>
        <w:tc>
          <w:tcPr>
            <w:tcW w:type="dxa" w:w="24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.env files</w:t>
            </w:r>
          </w:p>
        </w:tc>
        <w:tc>
          <w:tcPr>
            <w:tcW w:type="dxa" w:w="42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Never committed — git rm --cached backend/.env.* enforced in CI</w:t>
            </w:r>
          </w:p>
        </w:tc>
        <w:tc>
          <w:tcPr>
            <w:tcW w:type="dxa" w:w="24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Yes — secret management</w:t>
            </w:r>
          </w:p>
        </w:tc>
      </w:tr>
    </w:tbl>
    <w:p>
      <w:r>
        <w:br w:type="page"/>
      </w:r>
    </w:p>
    <w:p>
      <w:pPr>
        <w:pStyle w:val="Heading1"/>
        <w:spacing w:before="400" w:after="200"/>
      </w:pPr>
      <w:r>
        <w:rPr>
          <w:rFonts w:ascii="Arial" w:cs="Arial" w:eastAsia="Arial" w:hAnsi="Arial"/>
          <w:b/>
          <w:bCs/>
          <w:color w:val="0A2540"/>
          <w:sz w:val="36"/>
          <w:szCs w:val="36"/>
        </w:rPr>
        <w:t xml:space="preserve">9. CI/CD Pipeline</w:t>
      </w:r>
    </w:p>
    <w:p>
      <w:pPr>
        <w:pStyle w:val="Heading2"/>
        <w:spacing w:before="300" w:after="140"/>
      </w:pPr>
      <w:r>
        <w:rPr>
          <w:rFonts w:ascii="Arial" w:cs="Arial" w:eastAsia="Arial" w:hAnsi="Arial"/>
          <w:b/>
          <w:bCs/>
          <w:color w:val="1A3A5C"/>
          <w:sz w:val="28"/>
          <w:szCs w:val="28"/>
        </w:rPr>
        <w:t xml:space="preserve">9.1 Pipeline Stages</w:t>
      </w:r>
    </w:p>
    <w:tbl>
      <w:tblPr>
        <w:tblW w:type="dxa" w:w="10080"/>
        <w:tblBorders>
          <w:top w:val="single" w:color="auto" w:sz="4"/>
          <w:start w:val="single" w:color="auto" w:sz="4"/>
          <w:bottom w:val="single" w:color="auto" w:sz="4"/>
          <w:end w:val="single" w:color="auto" w:sz="4"/>
          <w:insideH w:val="single" w:color="auto" w:sz="4"/>
          <w:insideV w:val="single" w:color="auto" w:sz="4"/>
        </w:tblBorders>
      </w:tblPr>
      <w:tblGrid>
        <w:gridCol w:w="1200"/>
        <w:gridCol w:w="3400"/>
        <w:gridCol w:w="2400"/>
        <w:gridCol w:w="2080"/>
      </w:tblGrid>
      <w:tr>
        <w:trPr>
          <w:tblHeader/>
        </w:trPr>
        <w:tc>
          <w:tcPr>
            <w:tcW w:type="dxa" w:w="120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Stage</w:t>
            </w:r>
          </w:p>
        </w:tc>
        <w:tc>
          <w:tcPr>
            <w:tcW w:type="dxa" w:w="340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Jobs (parallel)</w:t>
            </w:r>
          </w:p>
        </w:tc>
        <w:tc>
          <w:tcPr>
            <w:tcW w:type="dxa" w:w="240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Depends On</w:t>
            </w:r>
          </w:p>
        </w:tc>
        <w:tc>
          <w:tcPr>
            <w:tcW w:type="dxa" w:w="208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Gate</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1 — Quality</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lint-typecheck, test, security</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Each other (all parallel)</w:t>
            </w:r>
          </w:p>
        </w:tc>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All 3 must pass before Stage 2</w:t>
            </w:r>
          </w:p>
        </w:tc>
      </w:tr>
      <w:tr>
        <w:tc>
          <w:tcPr>
            <w:tcW w:type="dxa" w:w="12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2 — Build</w:t>
            </w:r>
          </w:p>
        </w:tc>
        <w:tc>
          <w:tcPr>
            <w:tcW w:type="dxa" w:w="34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build-backend, build-admin, build-mobile-apk</w:t>
            </w:r>
          </w:p>
        </w:tc>
        <w:tc>
          <w:tcPr>
            <w:tcW w:type="dxa" w:w="24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Stage 1 complete</w:t>
            </w:r>
          </w:p>
        </w:tc>
        <w:tc>
          <w:tcPr>
            <w:tcW w:type="dxa" w:w="20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All 3 must pass before Stage 3</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3 — Deploy</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deploy-backend, deploy-admin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Stage 2 complete</w:t>
            </w:r>
          </w:p>
        </w:tc>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deploy-backend requires security job explicitly</w:t>
            </w:r>
          </w:p>
        </w:tc>
      </w:tr>
      <w:tr>
        <w:tc>
          <w:tcPr>
            <w:tcW w:type="dxa" w:w="12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4 — Smoke</w:t>
            </w:r>
          </w:p>
        </w:tc>
        <w:tc>
          <w:tcPr>
            <w:tcW w:type="dxa" w:w="34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smoke-test</w:t>
            </w:r>
          </w:p>
        </w:tc>
        <w:tc>
          <w:tcPr>
            <w:tcW w:type="dxa" w:w="24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Both deploys complete</w:t>
            </w:r>
          </w:p>
        </w:tc>
        <w:tc>
          <w:tcPr>
            <w:tcW w:type="dxa" w:w="20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Health check + dashboard + RBAC + admin panel</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5 — Release</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release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Smoke tests pass</w:t>
            </w:r>
          </w:p>
        </w:tc>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Idempotent — existing tag/release is skipped, not failed</w:t>
            </w:r>
          </w:p>
        </w:tc>
      </w:tr>
    </w:tbl>
    <w:p>
      <w:pPr>
        <w:spacing w:before="200" w:after="0"/>
      </w:pPr>
    </w:p>
    <w:p>
      <w:pPr>
        <w:pStyle w:val="Heading2"/>
        <w:spacing w:before="300" w:after="140"/>
      </w:pPr>
      <w:r>
        <w:rPr>
          <w:rFonts w:ascii="Arial" w:cs="Arial" w:eastAsia="Arial" w:hAnsi="Arial"/>
          <w:b/>
          <w:bCs/>
          <w:color w:val="1A3A5C"/>
          <w:sz w:val="28"/>
          <w:szCs w:val="28"/>
        </w:rPr>
        <w:t xml:space="preserve">9.2 Quality Gate Details</w:t>
      </w:r>
    </w:p>
    <w:tbl>
      <w:tblPr>
        <w:tblW w:type="dxa" w:w="10080"/>
        <w:tblBorders>
          <w:top w:val="single" w:color="auto" w:sz="4"/>
          <w:start w:val="single" w:color="auto" w:sz="4"/>
          <w:bottom w:val="single" w:color="auto" w:sz="4"/>
          <w:end w:val="single" w:color="auto" w:sz="4"/>
          <w:insideH w:val="single" w:color="auto" w:sz="4"/>
          <w:insideV w:val="single" w:color="auto" w:sz="4"/>
        </w:tblBorders>
      </w:tblPr>
      <w:tblGrid>
        <w:gridCol w:w="2200"/>
        <w:gridCol w:w="4000"/>
        <w:gridCol w:w="2880"/>
      </w:tblGrid>
      <w:tr>
        <w:trPr>
          <w:tblHeader/>
        </w:trPr>
        <w:tc>
          <w:tcPr>
            <w:tcW w:type="dxa" w:w="220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Gate</w:t>
            </w:r>
          </w:p>
        </w:tc>
        <w:tc>
          <w:tcPr>
            <w:tcW w:type="dxa" w:w="400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Command</w:t>
            </w:r>
          </w:p>
        </w:tc>
        <w:tc>
          <w:tcPr>
            <w:tcW w:type="dxa" w:w="288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Pass Condition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FIRS compliance</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grep -rn "FIRS" backend/src mobile/src admin/src packages</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0 occurrences</w:t>
            </w:r>
          </w:p>
        </w:tc>
      </w:tr>
      <w:tr>
        <w:tc>
          <w:tcPr>
            <w:tcW w:type="dxa" w:w="22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Animation token</w:t>
            </w:r>
          </w:p>
        </w:tc>
        <w:tc>
          <w:tcPr>
            <w:tcW w:type="dxa" w:w="40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grep -rn "withTiming.*[0-9]{3,4}" mobile/src | grep -v animation.ts</w:t>
            </w:r>
          </w:p>
        </w:tc>
        <w:tc>
          <w:tcPr>
            <w:tcW w:type="dxa" w:w="28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0 occurrences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compileSdkVersion</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grep -c '"compileSdkVersion": 36' mobile/eas.json</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 2 results</w:t>
            </w:r>
          </w:p>
        </w:tc>
      </w:tr>
      <w:tr>
        <w:tc>
          <w:tcPr>
            <w:tcW w:type="dxa" w:w="22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Test suite</w:t>
            </w:r>
          </w:p>
        </w:tc>
        <w:tc>
          <w:tcPr>
            <w:tcW w:type="dxa" w:w="40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yarn workspaces foreach -A run test -- --coverage --ci</w:t>
            </w:r>
          </w:p>
        </w:tc>
        <w:tc>
          <w:tcPr>
            <w:tcW w:type="dxa" w:w="28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≥423 passing, 0 failing</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Coverage</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npx nyc check-coverage --lines 95 --functions 95 --branches 90</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All thresholds met</w:t>
            </w:r>
          </w:p>
        </w:tc>
      </w:tr>
      <w:tr>
        <w:tc>
          <w:tcPr>
            <w:tcW w:type="dxa" w:w="22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Security scan</w:t>
            </w:r>
          </w:p>
        </w:tc>
        <w:tc>
          <w:tcPr>
            <w:tcW w:type="dxa" w:w="40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npx snyk test --severity-threshold=high</w:t>
            </w:r>
          </w:p>
        </w:tc>
        <w:tc>
          <w:tcPr>
            <w:tcW w:type="dxa" w:w="28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0 HIGH or CRITICAL findings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validateEnv present</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grep -r "validateEnv" backend/src/app.ts</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Pattern found — crashes fast</w:t>
            </w:r>
          </w:p>
        </w:tc>
      </w:tr>
      <w:tr>
        <w:tc>
          <w:tcPr>
            <w:tcW w:type="dxa" w:w="22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.env not committed</w:t>
            </w:r>
          </w:p>
        </w:tc>
        <w:tc>
          <w:tcPr>
            <w:tcW w:type="dxa" w:w="40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git ls-files | grep -E "\.env\." | grep -v ".env.example"</w:t>
            </w:r>
          </w:p>
        </w:tc>
        <w:tc>
          <w:tcPr>
            <w:tcW w:type="dxa" w:w="28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0 results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i18n completeness</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yarn i18n:check</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Exit 0 — all en.json keys in pidgin.json</w:t>
            </w:r>
          </w:p>
        </w:tc>
      </w:tr>
    </w:tbl>
    <w:p>
      <w:pPr>
        <w:spacing w:before="200" w:after="0"/>
      </w:pPr>
    </w:p>
    <w:p>
      <w:pPr>
        <w:pStyle w:val="Heading2"/>
        <w:spacing w:before="300" w:after="140"/>
      </w:pPr>
      <w:r>
        <w:rPr>
          <w:rFonts w:ascii="Arial" w:cs="Arial" w:eastAsia="Arial" w:hAnsi="Arial"/>
          <w:b/>
          <w:bCs/>
          <w:color w:val="1A3A5C"/>
          <w:sz w:val="28"/>
          <w:szCs w:val="28"/>
        </w:rPr>
        <w:t xml:space="preserve">9.3 Blue-Green Deploy Procedure</w:t>
      </w:r>
    </w:p>
    <w:p>
      <w:pPr>
        <w:pBdr>
          <w:left w:val="single" w:color="F59E0B" w:sz="16" w:space="4"/>
        </w:pBdr>
        <w:shd w:fill="FAFAFA" w:val="clear"/>
        <w:spacing w:before="120" w:after="120"/>
        <w:ind w:left="360"/>
      </w:pPr>
      <w:r>
        <w:rPr>
          <w:rFonts w:ascii="Arial" w:cs="Arial" w:eastAsia="Arial" w:hAnsi="Arial"/>
          <w:sz w:val="22"/>
          <w:szCs w:val="22"/>
        </w:rPr>
        <w:t xml:space="preserve">🔄  </w:t>
      </w:r>
      <w:r>
        <w:rPr>
          <w:rFonts w:ascii="Arial" w:cs="Arial" w:eastAsia="Arial" w:hAnsi="Arial"/>
          <w:b/>
          <w:bCs/>
          <w:color w:val="0A2540"/>
          <w:sz w:val="22"/>
          <w:szCs w:val="22"/>
        </w:rPr>
        <w:t xml:space="preserve">Rollback Procedure:  </w:t>
      </w:r>
      <w:r>
        <w:rPr>
          <w:rFonts w:ascii="Arial" w:cs="Arial" w:eastAsia="Arial" w:hAnsi="Arial"/>
          <w:color w:val="1A1A2E"/>
          <w:sz w:val="22"/>
          <w:szCs w:val="22"/>
        </w:rPr>
        <w:t xml:space="preserve">render traffic swap --from prod --to blue --api-key $RENDER_API_KEY. NEVER attempt manual code revert without traffic swap first. The blue slot (previous production) remains standing by for 24 hours post-deployment.</w:t>
      </w:r>
    </w:p>
    <w:p>
      <w:pPr>
        <w:spacing w:before="160" w:after="0"/>
      </w:pPr>
    </w:p>
    <w:tbl>
      <w:tblPr>
        <w:tblW w:type="dxa" w:w="10080"/>
        <w:tblBorders>
          <w:top w:val="single" w:color="auto" w:sz="4"/>
          <w:start w:val="single" w:color="auto" w:sz="4"/>
          <w:bottom w:val="single" w:color="auto" w:sz="4"/>
          <w:end w:val="single" w:color="auto" w:sz="4"/>
          <w:insideH w:val="single" w:color="auto" w:sz="4"/>
          <w:insideV w:val="single" w:color="auto" w:sz="4"/>
        </w:tblBorders>
      </w:tblPr>
      <w:tblGrid>
        <w:gridCol w:w="400"/>
        <w:gridCol w:w="5400"/>
        <w:gridCol w:w="3280"/>
      </w:tblGrid>
      <w:tr>
        <w:trPr>
          <w:tblHeader/>
        </w:trPr>
        <w:tc>
          <w:tcPr>
            <w:tcW w:type="dxa" w:w="40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Step</w:t>
            </w:r>
          </w:p>
        </w:tc>
        <w:tc>
          <w:tcPr>
            <w:tcW w:type="dxa" w:w="540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Action</w:t>
            </w:r>
          </w:p>
        </w:tc>
        <w:tc>
          <w:tcPr>
            <w:tcW w:type="dxa" w:w="328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Failure Action</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1</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Deploy build to taxbridge-api-green slot (inactive)</w:t>
            </w:r>
          </w:p>
        </w:tc>
        <w:tc>
          <w:tcPr>
            <w:tcW w:type="dxa" w:w="3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CI fails, prod (blue) unaffected</w:t>
            </w:r>
          </w:p>
        </w:tc>
      </w:tr>
      <w:tr>
        <w:tc>
          <w:tcPr>
            <w:tcW w:type="dxa" w:w="4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2</w:t>
            </w:r>
          </w:p>
        </w:tc>
        <w:tc>
          <w:tcPr>
            <w:tcW w:type="dxa" w:w="54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Health check: GET /api/v2/monitoring/health on green — must return {"status":"healthy"}</w:t>
            </w:r>
          </w:p>
        </w:tc>
        <w:tc>
          <w:tcPr>
            <w:tcW w:type="dxa" w:w="32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Tear down green, alert #ops</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3</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E2E smoke: auth, dashboard composite, RBAC enforcement, admin panel</w:t>
            </w:r>
          </w:p>
        </w:tc>
        <w:tc>
          <w:tcPr>
            <w:tcW w:type="dxa" w:w="3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Tear down green, alert #ops</w:t>
            </w:r>
          </w:p>
        </w:tc>
      </w:tr>
      <w:tr>
        <w:tc>
          <w:tcPr>
            <w:tcW w:type="dxa" w:w="4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4</w:t>
            </w:r>
          </w:p>
        </w:tc>
        <w:tc>
          <w:tcPr>
            <w:tcW w:type="dxa" w:w="54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Traffic swap: green becomes prod, old prod becomes blue standby</w:t>
            </w:r>
          </w:p>
        </w:tc>
        <w:tc>
          <w:tcPr>
            <w:tcW w:type="dxa" w:w="32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Revert: render traffic swap blue→prod</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5</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Post-deploy monitoring: watch Sentry error rate for 30min</w:t>
            </w:r>
          </w:p>
        </w:tc>
        <w:tc>
          <w:tcPr>
            <w:tcW w:type="dxa" w:w="3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If &gt;1%/min: rollback via blue</w:t>
            </w:r>
          </w:p>
        </w:tc>
      </w:tr>
    </w:tbl>
    <w:p>
      <w:r>
        <w:br w:type="page"/>
      </w:r>
    </w:p>
    <w:p>
      <w:pPr>
        <w:pStyle w:val="Heading1"/>
        <w:spacing w:before="400" w:after="200"/>
      </w:pPr>
      <w:r>
        <w:rPr>
          <w:rFonts w:ascii="Arial" w:cs="Arial" w:eastAsia="Arial" w:hAnsi="Arial"/>
          <w:b/>
          <w:bCs/>
          <w:color w:val="0A2540"/>
          <w:sz w:val="36"/>
          <w:szCs w:val="36"/>
        </w:rPr>
        <w:t xml:space="preserve">10. Nigerian SME Tax Workflow Integration</w:t>
      </w:r>
    </w:p>
    <w:p>
      <w:pPr>
        <w:spacing w:before="80" w:after="80"/>
      </w:pPr>
      <w:r>
        <w:rPr>
          <w:rFonts w:ascii="Arial" w:cs="Arial" w:eastAsia="Arial" w:hAnsi="Arial"/>
          <w:color w:val="1A1A2E"/>
          <w:sz w:val="22"/>
          <w:szCs w:val="22"/>
        </w:rPr>
        <w:t xml:space="preserve">The following workflows constitute the core value loop for the platform's primary user: a Nigerian small business owner managing VAT, WHT, and PAYE obligations under NTA 2025. Each workflow is accessible from the dashboard Quick Actions grid within 2 taps.</w:t>
      </w:r>
    </w:p>
    <w:p>
      <w:pPr>
        <w:spacing w:before="200" w:after="0"/>
      </w:pPr>
    </w:p>
    <w:p>
      <w:pPr>
        <w:pStyle w:val="Heading2"/>
        <w:spacing w:before="300" w:after="140"/>
      </w:pPr>
      <w:r>
        <w:rPr>
          <w:rFonts w:ascii="Arial" w:cs="Arial" w:eastAsia="Arial" w:hAnsi="Arial"/>
          <w:b/>
          <w:bCs/>
          <w:color w:val="1A3A5C"/>
          <w:sz w:val="28"/>
          <w:szCs w:val="28"/>
        </w:rPr>
        <w:t xml:space="preserve">10.1 VAT Filing Flow (MOD-22)</w:t>
      </w:r>
    </w:p>
    <w:tbl>
      <w:tblPr>
        <w:tblW w:type="dxa" w:w="10080"/>
        <w:tblBorders>
          <w:top w:val="single" w:color="auto" w:sz="4"/>
          <w:start w:val="single" w:color="auto" w:sz="4"/>
          <w:bottom w:val="single" w:color="auto" w:sz="4"/>
          <w:end w:val="single" w:color="auto" w:sz="4"/>
          <w:insideH w:val="single" w:color="auto" w:sz="4"/>
          <w:insideV w:val="single" w:color="auto" w:sz="4"/>
        </w:tblBorders>
      </w:tblPr>
      <w:tblGrid>
        <w:gridCol w:w="2800"/>
        <w:gridCol w:w="2800"/>
        <w:gridCol w:w="3480"/>
      </w:tblGrid>
      <w:tr>
        <w:trPr>
          <w:tblHeader/>
        </w:trPr>
        <w:tc>
          <w:tcPr>
            <w:tcW w:type="dxa" w:w="280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Entry Point</w:t>
            </w:r>
          </w:p>
        </w:tc>
        <w:tc>
          <w:tcPr>
            <w:tcW w:type="dxa" w:w="280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UI Trigger</w:t>
            </w:r>
          </w:p>
        </w:tc>
        <w:tc>
          <w:tcPr>
            <w:tcW w:type="dxa" w:w="348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Pre-fill</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QuickActionsGrid "File VAT"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Urgent badge if deadline ≤7 days</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Current VAT period, previous period amounts</w:t>
            </w:r>
          </w:p>
        </w:tc>
      </w:tr>
      <w:tr>
        <w:tc>
          <w:tcPr>
            <w:tcW w:type="dxa" w:w="28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ComplianceCalendar deadline card</w:t>
            </w:r>
          </w:p>
        </w:tc>
        <w:tc>
          <w:tcPr>
            <w:tcW w:type="dxa" w:w="28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"File Now" CTA button</w:t>
            </w:r>
          </w:p>
        </w:tc>
        <w:tc>
          <w:tcPr>
            <w:tcW w:type="dxa" w:w="34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Deadline date, period, outstanding amount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Anomaly signal 7 (VAT gap) "Fix Now"</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Anomaly resolution sheet</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Flagged period pre-selected, gap amount highlighted</w:t>
            </w:r>
          </w:p>
        </w:tc>
      </w:tr>
    </w:tbl>
    <w:p>
      <w:pPr>
        <w:spacing w:before="120" w:after="0"/>
      </w:pPr>
    </w:p>
    <w:p>
      <w:pPr>
        <w:pStyle w:val="ListParagraph"/>
        <w:numPr>
          <w:ilvl w:val="0"/>
          <w:numId w:val="2"/>
        </w:numPr>
        <w:spacing w:before="40" w:after="40"/>
      </w:pPr>
      <w:r>
        <w:rPr>
          <w:rFonts w:ascii="Arial" w:cs="Arial" w:eastAsia="Arial" w:hAnsi="Arial"/>
          <w:color w:val="1A1A2E"/>
          <w:sz w:val="22"/>
          <w:szCs w:val="22"/>
        </w:rPr>
        <w:t xml:space="preserve">Registration mandatory at annual turnover ≥ ₦25,000,000 (NTA 2025 §22)</w:t>
      </w:r>
    </w:p>
    <w:p>
      <w:pPr>
        <w:pStyle w:val="ListParagraph"/>
        <w:numPr>
          <w:ilvl w:val="0"/>
          <w:numId w:val="2"/>
        </w:numPr>
        <w:spacing w:before="40" w:after="40"/>
      </w:pPr>
      <w:r>
        <w:rPr>
          <w:rFonts w:ascii="Arial" w:cs="Arial" w:eastAsia="Arial" w:hAnsi="Arial"/>
          <w:color w:val="1A1A2E"/>
          <w:sz w:val="22"/>
          <w:szCs w:val="22"/>
        </w:rPr>
        <w:t xml:space="preserve">Small companies with turnover &lt; ₦100,000,000 — no VAT registration required (§22(4))</w:t>
      </w:r>
    </w:p>
    <w:p>
      <w:pPr>
        <w:pStyle w:val="ListParagraph"/>
        <w:numPr>
          <w:ilvl w:val="0"/>
          <w:numId w:val="2"/>
        </w:numPr>
        <w:spacing w:before="40" w:after="40"/>
      </w:pPr>
      <w:r>
        <w:rPr>
          <w:rFonts w:ascii="Arial" w:cs="Arial" w:eastAsia="Arial" w:hAnsi="Arial"/>
          <w:color w:val="1A1A2E"/>
          <w:sz w:val="22"/>
          <w:szCs w:val="22"/>
        </w:rPr>
        <w:t xml:space="preserve">Standard rate: 7.5%. Zero-rated: exports, essential goods. Exempt: land, residential property</w:t>
      </w:r>
    </w:p>
    <w:p>
      <w:pPr>
        <w:pStyle w:val="ListParagraph"/>
        <w:numPr>
          <w:ilvl w:val="0"/>
          <w:numId w:val="2"/>
        </w:numPr>
        <w:spacing w:before="40" w:after="40"/>
      </w:pPr>
      <w:r>
        <w:rPr>
          <w:rFonts w:ascii="Arial" w:cs="Arial" w:eastAsia="Arial" w:hAnsi="Arial"/>
          <w:color w:val="1A1A2E"/>
          <w:sz w:val="22"/>
          <w:szCs w:val="22"/>
        </w:rPr>
        <w:t xml:space="preserve">NRS e-invoice stamp required per invoice ≥ ₦200,000</w:t>
      </w:r>
    </w:p>
    <w:p>
      <w:pPr>
        <w:pStyle w:val="ListParagraph"/>
        <w:numPr>
          <w:ilvl w:val="0"/>
          <w:numId w:val="2"/>
        </w:numPr>
        <w:spacing w:before="40" w:after="40"/>
      </w:pPr>
      <w:r>
        <w:rPr>
          <w:rFonts w:ascii="Arial" w:cs="Arial" w:eastAsia="Arial" w:hAnsi="Arial"/>
          <w:color w:val="1A1A2E"/>
          <w:sz w:val="22"/>
          <w:szCs w:val="22"/>
        </w:rPr>
        <w:t xml:space="preserve">Input VAT refund claim deadline: 12 months. NRS processing: 30 days</w:t>
      </w:r>
    </w:p>
    <w:p>
      <w:pPr>
        <w:pStyle w:val="ListParagraph"/>
        <w:numPr>
          <w:ilvl w:val="0"/>
          <w:numId w:val="2"/>
        </w:numPr>
        <w:spacing w:before="40" w:after="40"/>
      </w:pPr>
      <w:r>
        <w:rPr>
          <w:rFonts w:ascii="Arial" w:cs="Arial" w:eastAsia="Arial" w:hAnsi="Arial"/>
          <w:color w:val="1A1A2E"/>
          <w:sz w:val="22"/>
          <w:szCs w:val="22"/>
        </w:rPr>
        <w:t xml:space="preserve">Filing and remittance deadline: 21st of following month (same as WHT)</w:t>
      </w:r>
    </w:p>
    <w:p>
      <w:pPr>
        <w:spacing w:before="200" w:after="0"/>
      </w:pPr>
    </w:p>
    <w:p>
      <w:pPr>
        <w:pStyle w:val="Heading2"/>
        <w:spacing w:before="300" w:after="140"/>
      </w:pPr>
      <w:r>
        <w:rPr>
          <w:rFonts w:ascii="Arial" w:cs="Arial" w:eastAsia="Arial" w:hAnsi="Arial"/>
          <w:b/>
          <w:bCs/>
          <w:color w:val="1A3A5C"/>
          <w:sz w:val="28"/>
          <w:szCs w:val="28"/>
        </w:rPr>
        <w:t xml:space="preserve">10.2 WHT Remittance Flow (MOD-23)</w:t>
      </w:r>
    </w:p>
    <w:p>
      <w:pPr>
        <w:spacing w:before="80" w:after="80"/>
      </w:pPr>
      <w:r>
        <w:rPr>
          <w:rFonts w:ascii="Arial" w:cs="Arial" w:eastAsia="Arial" w:hAnsi="Arial"/>
          <w:color w:val="1A1A2E"/>
          <w:sz w:val="22"/>
          <w:szCs w:val="22"/>
        </w:rPr>
        <w:t xml:space="preserve">The single most common error in Nigerian WHT compliance: professional fees charged at 5% instead of the correct 10%. The wizard surfaces the decision tree explicitly at the rate selection step.</w:t>
      </w:r>
    </w:p>
    <w:p>
      <w:pPr>
        <w:spacing w:before="160" w:after="0"/>
      </w:pPr>
    </w:p>
    <w:tbl>
      <w:tblPr>
        <w:tblW w:type="dxa" w:w="10080"/>
        <w:tblBorders>
          <w:top w:val="single" w:color="auto" w:sz="4"/>
          <w:start w:val="single" w:color="auto" w:sz="4"/>
          <w:bottom w:val="single" w:color="auto" w:sz="4"/>
          <w:end w:val="single" w:color="auto" w:sz="4"/>
          <w:insideH w:val="single" w:color="auto" w:sz="4"/>
          <w:insideV w:val="single" w:color="auto" w:sz="4"/>
        </w:tblBorders>
      </w:tblPr>
      <w:tblGrid>
        <w:gridCol w:w="2800"/>
        <w:gridCol w:w="1200"/>
        <w:gridCol w:w="2800"/>
        <w:gridCol w:w="2280"/>
      </w:tblGrid>
      <w:tr>
        <w:trPr>
          <w:tblHeader/>
        </w:trPr>
        <w:tc>
          <w:tcPr>
            <w:tcW w:type="dxa" w:w="280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Transaction Type</w:t>
            </w:r>
          </w:p>
        </w:tc>
        <w:tc>
          <w:tcPr>
            <w:tcW w:type="dxa" w:w="120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WHT Rate</w:t>
            </w:r>
          </w:p>
        </w:tc>
        <w:tc>
          <w:tcPr>
            <w:tcW w:type="dxa" w:w="280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Common Error</w:t>
            </w:r>
          </w:p>
        </w:tc>
        <w:tc>
          <w:tcPr>
            <w:tcW w:type="dxa" w:w="228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NTA 2025 Section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Professional / consultancy fees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10%</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Was listed as 5% in V10.2 — FIXED</w:t>
            </w:r>
          </w:p>
        </w:tc>
        <w:tc>
          <w:tcPr>
            <w:tcW w:type="dxa" w:w="2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§41(3)(a)</w:t>
            </w:r>
          </w:p>
        </w:tc>
      </w:tr>
      <w:tr>
        <w:tc>
          <w:tcPr>
            <w:tcW w:type="dxa" w:w="28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Dividends</w:t>
            </w:r>
          </w:p>
        </w:tc>
        <w:tc>
          <w:tcPr>
            <w:tcW w:type="dxa" w:w="12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10%</w:t>
            </w:r>
          </w:p>
        </w:tc>
        <w:tc>
          <w:tcPr>
            <w:tcW w:type="dxa" w:w="28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w:t>
            </w:r>
          </w:p>
        </w:tc>
        <w:tc>
          <w:tcPr>
            <w:tcW w:type="dxa" w:w="22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§41(1)</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Interest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10%</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w:t>
            </w:r>
          </w:p>
        </w:tc>
        <w:tc>
          <w:tcPr>
            <w:tcW w:type="dxa" w:w="2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§41(2)</w:t>
            </w:r>
          </w:p>
        </w:tc>
      </w:tr>
      <w:tr>
        <w:tc>
          <w:tcPr>
            <w:tcW w:type="dxa" w:w="28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Rent (commercial/institutional)</w:t>
            </w:r>
          </w:p>
        </w:tc>
        <w:tc>
          <w:tcPr>
            <w:tcW w:type="dxa" w:w="12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10%</w:t>
            </w:r>
          </w:p>
        </w:tc>
        <w:tc>
          <w:tcPr>
            <w:tcW w:type="dxa" w:w="28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w:t>
            </w:r>
          </w:p>
        </w:tc>
        <w:tc>
          <w:tcPr>
            <w:tcW w:type="dxa" w:w="22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§41(3)(b)</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Agency commissions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10%</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w:t>
            </w:r>
          </w:p>
        </w:tc>
        <w:tc>
          <w:tcPr>
            <w:tcW w:type="dxa" w:w="2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§41(3)(c)</w:t>
            </w:r>
          </w:p>
        </w:tc>
      </w:tr>
      <w:tr>
        <w:tc>
          <w:tcPr>
            <w:tcW w:type="dxa" w:w="28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Construction / contracts</w:t>
            </w:r>
          </w:p>
        </w:tc>
        <w:tc>
          <w:tcPr>
            <w:tcW w:type="dxa" w:w="12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5%</w:t>
            </w:r>
          </w:p>
        </w:tc>
        <w:tc>
          <w:tcPr>
            <w:tcW w:type="dxa" w:w="28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Only category at 5%</w:t>
            </w:r>
          </w:p>
        </w:tc>
        <w:tc>
          <w:tcPr>
            <w:tcW w:type="dxa" w:w="22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§41(4)</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Non-resident (no NRS WHT)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4% flat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w:t>
            </w:r>
          </w:p>
        </w:tc>
        <w:tc>
          <w:tcPr>
            <w:tcW w:type="dxa" w:w="2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§41(5)</w:t>
            </w:r>
          </w:p>
        </w:tc>
      </w:tr>
    </w:tbl>
    <w:p>
      <w:pPr>
        <w:spacing w:before="200" w:after="0"/>
      </w:pPr>
    </w:p>
    <w:p>
      <w:pPr>
        <w:pStyle w:val="Heading2"/>
        <w:spacing w:before="300" w:after="140"/>
      </w:pPr>
      <w:r>
        <w:rPr>
          <w:rFonts w:ascii="Arial" w:cs="Arial" w:eastAsia="Arial" w:hAnsi="Arial"/>
          <w:b/>
          <w:bCs/>
          <w:color w:val="1A3A5C"/>
          <w:sz w:val="28"/>
          <w:szCs w:val="28"/>
        </w:rPr>
        <w:t xml:space="preserve">10.3 PAYE Payroll Accuracy Gate</w:t>
      </w:r>
    </w:p>
    <w:p>
      <w:pPr>
        <w:pBdr>
          <w:left w:val="single" w:color="0A2540" w:sz="16" w:space="4"/>
        </w:pBdr>
        <w:shd w:fill="FAFAFA" w:val="clear"/>
        <w:spacing w:before="120" w:after="120"/>
        <w:ind w:left="360"/>
      </w:pPr>
      <w:r>
        <w:rPr>
          <w:rFonts w:ascii="Arial" w:cs="Arial" w:eastAsia="Arial" w:hAnsi="Arial"/>
          <w:sz w:val="22"/>
          <w:szCs w:val="22"/>
        </w:rPr>
        <w:t xml:space="preserve">🎯  </w:t>
      </w:r>
      <w:r>
        <w:rPr>
          <w:rFonts w:ascii="Arial" w:cs="Arial" w:eastAsia="Arial" w:hAnsi="Arial"/>
          <w:b/>
          <w:bCs/>
          <w:color w:val="0A2540"/>
          <w:sz w:val="22"/>
          <w:szCs w:val="22"/>
        </w:rPr>
        <w:t xml:space="preserve">Test Gate:  </w:t>
      </w:r>
      <w:r>
        <w:rPr>
          <w:rFonts w:ascii="Arial" w:cs="Arial" w:eastAsia="Arial" w:hAnsi="Arial"/>
          <w:color w:val="1A1A2E"/>
          <w:sz w:val="22"/>
          <w:szCs w:val="22"/>
        </w:rPr>
        <w:t xml:space="preserve">calculatePIT({ grossIncome: 5_000_000, rentPaid: 600_000, pension: 200_000 }).taxLiability must equal 632,400 ± ₦1. This is the V11.0 payroll accuracy gate — must pass in test suite before any payroll feature ships.</w:t>
      </w:r>
    </w:p>
    <w:p>
      <w:pPr>
        <w:spacing w:before="160" w:after="0"/>
      </w:pPr>
    </w:p>
    <w:p>
      <w:pPr>
        <w:pBdr>
          <w:left w:val="single" w:color="1A3A5C" w:sz="12" w:space="10"/>
        </w:pBdr>
        <w:shd w:fill="F1F5F9" w:val="clear"/>
        <w:spacing w:before="100" w:after="100"/>
        <w:ind w:left="360" w:right="360"/>
      </w:pPr>
      <w:r>
        <w:rPr>
          <w:rFonts w:ascii="Courier New" w:cs="Courier New" w:eastAsia="Courier New" w:hAnsi="Courier New"/>
          <w:color w:val="1E293B"/>
          <w:sz w:val="18"/>
          <w:szCs w:val="18"/>
        </w:rPr>
        <w:t>// Worked example — ₦5,000,000 gross income
RRA    = min(0.20 × 600,000, 500,000) = 120,000
Pension = 200,000
Taxable = 5,000,000 − 120,000 − 200,000 = 4,680,000
Band 1: min(4,680,000, 800,000)   × 0.00 = 0
Band 2: min(3,880,000, 2,200,000) × 0.15 = 330,000
Band 3: min(1,680,000, 9,000,000) × 0.18 = 302,400
Total tax liability: ₦632,400  |  ETR ≈ 13.51%
No minimum tax floor. No CRA. No 15% ETR for individuals.</w:t>
      </w:r>
    </w:p>
    <w:p>
      <w:r>
        <w:br w:type="page"/>
      </w:r>
    </w:p>
    <w:p>
      <w:pPr>
        <w:pStyle w:val="Heading1"/>
        <w:spacing w:before="400" w:after="200"/>
      </w:pPr>
      <w:r>
        <w:rPr>
          <w:rFonts w:ascii="Arial" w:cs="Arial" w:eastAsia="Arial" w:hAnsi="Arial"/>
          <w:b/>
          <w:bCs/>
          <w:color w:val="0A2540"/>
          <w:sz w:val="36"/>
          <w:szCs w:val="36"/>
        </w:rPr>
        <w:t xml:space="preserve">11. Production Go-Live Checklist</w:t>
      </w:r>
    </w:p>
    <w:p>
      <w:pPr>
        <w:pBdr>
          <w:left w:val="single" w:color="DC2626" w:sz="16" w:space="4"/>
        </w:pBdr>
        <w:shd w:fill="FAFAFA" w:val="clear"/>
        <w:spacing w:before="120" w:after="120"/>
        <w:ind w:left="360"/>
      </w:pPr>
      <w:r>
        <w:rPr>
          <w:rFonts w:ascii="Arial" w:cs="Arial" w:eastAsia="Arial" w:hAnsi="Arial"/>
          <w:sz w:val="22"/>
          <w:szCs w:val="22"/>
        </w:rPr>
        <w:t xml:space="preserve">🚦  </w:t>
      </w:r>
      <w:r>
        <w:rPr>
          <w:rFonts w:ascii="Arial" w:cs="Arial" w:eastAsia="Arial" w:hAnsi="Arial"/>
          <w:b/>
          <w:bCs/>
          <w:color w:val="0A2540"/>
          <w:sz w:val="22"/>
          <w:szCs w:val="22"/>
        </w:rPr>
        <w:t xml:space="preserve">Gate Policy:  </w:t>
      </w:r>
      <w:r>
        <w:rPr>
          <w:rFonts w:ascii="Arial" w:cs="Arial" w:eastAsia="Arial" w:hAnsi="Arial"/>
          <w:color w:val="1A1A2E"/>
          <w:sz w:val="22"/>
          <w:szCs w:val="22"/>
        </w:rPr>
        <w:t xml:space="preserve">Every item below must be confirmed ✓ before the deployment tag is applied. No exceptions. Items marked CRITICAL will cause production incidents if skipped.</w:t>
      </w:r>
    </w:p>
    <w:p>
      <w:pPr>
        <w:spacing w:before="200" w:after="0"/>
      </w:pPr>
    </w:p>
    <w:p>
      <w:pPr>
        <w:pStyle w:val="Heading2"/>
        <w:spacing w:before="300" w:after="140"/>
      </w:pPr>
      <w:r>
        <w:rPr>
          <w:rFonts w:ascii="Arial" w:cs="Arial" w:eastAsia="Arial" w:hAnsi="Arial"/>
          <w:b/>
          <w:bCs/>
          <w:color w:val="1A3A5C"/>
          <w:sz w:val="28"/>
          <w:szCs w:val="28"/>
        </w:rPr>
        <w:t xml:space="preserve">11.1 Pre-Deploy Gates</w:t>
      </w:r>
    </w:p>
    <w:tbl>
      <w:tblPr>
        <w:tblW w:type="dxa" w:w="10080"/>
        <w:tblBorders>
          <w:top w:val="single" w:color="auto" w:sz="4"/>
          <w:start w:val="single" w:color="auto" w:sz="4"/>
          <w:bottom w:val="single" w:color="auto" w:sz="4"/>
          <w:end w:val="single" w:color="auto" w:sz="4"/>
          <w:insideH w:val="single" w:color="auto" w:sz="4"/>
          <w:insideV w:val="single" w:color="auto" w:sz="4"/>
        </w:tblBorders>
      </w:tblPr>
      <w:tblGrid>
        <w:gridCol w:w="400"/>
        <w:gridCol w:w="3200"/>
        <w:gridCol w:w="3400"/>
        <w:gridCol w:w="1080"/>
      </w:tblGrid>
      <w:tr>
        <w:trPr>
          <w:tblHeader/>
        </w:trPr>
        <w:tc>
          <w:tcPr>
            <w:tcW w:type="dxa" w:w="40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320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Check</w:t>
            </w:r>
          </w:p>
        </w:tc>
        <w:tc>
          <w:tcPr>
            <w:tcW w:type="dxa" w:w="340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Command / Verification</w:t>
            </w:r>
          </w:p>
        </w:tc>
        <w:tc>
          <w:tcPr>
            <w:tcW w:type="dxa" w:w="108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Criticality</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01</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Test suite: ≥423 passing, 0 failing</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npm test --workspaces -- --coverage</w:t>
            </w:r>
          </w:p>
        </w:tc>
        <w:tc>
          <w:tcPr>
            <w:tcW w:type="dxa" w:w="1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CRITICAL</w:t>
            </w:r>
          </w:p>
        </w:tc>
      </w:tr>
      <w:tr>
        <w:tc>
          <w:tcPr>
            <w:tcW w:type="dxa" w:w="4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02</w:t>
            </w:r>
          </w:p>
        </w:tc>
        <w:tc>
          <w:tcPr>
            <w:tcW w:type="dxa" w:w="32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TypeScript: 0 errors across all packages</w:t>
            </w:r>
          </w:p>
        </w:tc>
        <w:tc>
          <w:tcPr>
            <w:tcW w:type="dxa" w:w="34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tsc --noEmit (backend, mobile, admin)</w:t>
            </w:r>
          </w:p>
        </w:tc>
        <w:tc>
          <w:tcPr>
            <w:tcW w:type="dxa" w:w="10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CRITICAL</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03</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FIRS: 0 occurrences anywhere</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grep -rn "FIRS" . --include="*.ts" --include="*.json"</w:t>
            </w:r>
          </w:p>
        </w:tc>
        <w:tc>
          <w:tcPr>
            <w:tcW w:type="dxa" w:w="1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CRITICAL</w:t>
            </w:r>
          </w:p>
        </w:tc>
      </w:tr>
      <w:tr>
        <w:tc>
          <w:tcPr>
            <w:tcW w:type="dxa" w:w="4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04</w:t>
            </w:r>
          </w:p>
        </w:tc>
        <w:tc>
          <w:tcPr>
            <w:tcW w:type="dxa" w:w="32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CRA formula: 0 occurrences</w:t>
            </w:r>
          </w:p>
        </w:tc>
        <w:tc>
          <w:tcPr>
            <w:tcW w:type="dxa" w:w="34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grep -rn "CRA\b" packages/contracts/src backend/src</w:t>
            </w:r>
          </w:p>
        </w:tc>
        <w:tc>
          <w:tcPr>
            <w:tcW w:type="dxa" w:w="10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CRITICAL</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05</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Individual minimum tax: 0 occurrences</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grep -rn "minTax\|1%.*gross" packages backend</w:t>
            </w:r>
          </w:p>
        </w:tc>
        <w:tc>
          <w:tcPr>
            <w:tcW w:type="dxa" w:w="1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CRITICAL</w:t>
            </w:r>
          </w:p>
        </w:tc>
      </w:tr>
      <w:tr>
        <w:tc>
          <w:tcPr>
            <w:tcW w:type="dxa" w:w="4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06</w:t>
            </w:r>
          </w:p>
        </w:tc>
        <w:tc>
          <w:tcPr>
            <w:tcW w:type="dxa" w:w="32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RRA formula present</w:t>
            </w:r>
          </w:p>
        </w:tc>
        <w:tc>
          <w:tcPr>
            <w:tcW w:type="dxa" w:w="34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grep -n "calculateRRA" packages/contracts/src/constants.ts</w:t>
            </w:r>
          </w:p>
        </w:tc>
        <w:tc>
          <w:tcPr>
            <w:tcW w:type="dxa" w:w="10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CRITICAL</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07</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WHT professional rate = 10%</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grep -n "WHT_PROFESSIONAL_RATE.*0\.10" packages/contracts/src</w:t>
            </w:r>
          </w:p>
        </w:tc>
        <w:tc>
          <w:tcPr>
            <w:tcW w:type="dxa" w:w="1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CRITICAL</w:t>
            </w:r>
          </w:p>
        </w:tc>
      </w:tr>
      <w:tr>
        <w:tc>
          <w:tcPr>
            <w:tcW w:type="dxa" w:w="4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08</w:t>
            </w:r>
          </w:p>
        </w:tc>
        <w:tc>
          <w:tcPr>
            <w:tcW w:type="dxa" w:w="32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TaxHealthGauge: SVG arc (not ProgressBar)</w:t>
            </w:r>
          </w:p>
        </w:tc>
        <w:tc>
          <w:tcPr>
            <w:tcW w:type="dxa" w:w="34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grep -rn "ProgressBar" TaxHealthGauge.tsx → 0</w:t>
            </w:r>
          </w:p>
        </w:tc>
        <w:tc>
          <w:tcPr>
            <w:tcW w:type="dxa" w:w="10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CRITICAL</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09</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Reanimated worklets marked</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grep -n "'worklet'" TaxHealthGauge.tsx → ≥2 results</w:t>
            </w:r>
          </w:p>
        </w:tc>
        <w:tc>
          <w:tcPr>
            <w:tcW w:type="dxa" w:w="1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CRITICAL</w:t>
            </w:r>
          </w:p>
        </w:tc>
      </w:tr>
      <w:tr>
        <w:tc>
          <w:tcPr>
            <w:tcW w:type="dxa" w:w="4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10</w:t>
            </w:r>
          </w:p>
        </w:tc>
        <w:tc>
          <w:tcPr>
            <w:tcW w:type="dxa" w:w="32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DashboardSkeleton: 0px layout shift</w:t>
            </w:r>
          </w:p>
        </w:tc>
        <w:tc>
          <w:tcPr>
            <w:tcW w:type="dxa" w:w="34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RN Profiler frame timeline before/after transition</w:t>
            </w:r>
          </w:p>
        </w:tc>
        <w:tc>
          <w:tcPr>
            <w:tcW w:type="dxa" w:w="10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HIGH</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11</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All 5 DashboardZones present</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grep -c 'zone="' DashboardScreen.tsx → 5</w:t>
            </w:r>
          </w:p>
        </w:tc>
        <w:tc>
          <w:tcPr>
            <w:tcW w:type="dxa" w:w="1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CRITICAL</w:t>
            </w:r>
          </w:p>
        </w:tc>
      </w:tr>
      <w:tr>
        <w:tc>
          <w:tcPr>
            <w:tcW w:type="dxa" w:w="4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12</w:t>
            </w:r>
          </w:p>
        </w:tc>
        <w:tc>
          <w:tcPr>
            <w:tcW w:type="dxa" w:w="32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No await before router.push()</w:t>
            </w:r>
          </w:p>
        </w:tc>
        <w:tc>
          <w:tcPr>
            <w:tcW w:type="dxa" w:w="34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grep -n "await.*router" DashboardScreen.tsx → 0</w:t>
            </w:r>
          </w:p>
        </w:tc>
        <w:tc>
          <w:tcPr>
            <w:tcW w:type="dxa" w:w="10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HIGH</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13</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express.raw before express.json</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Line order in app.ts: /webhooks before .json()</w:t>
            </w:r>
          </w:p>
        </w:tc>
        <w:tc>
          <w:tcPr>
            <w:tcW w:type="dxa" w:w="1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CRITICAL</w:t>
            </w:r>
          </w:p>
        </w:tc>
      </w:tr>
      <w:tr>
        <w:tc>
          <w:tcPr>
            <w:tcW w:type="dxa" w:w="4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14</w:t>
            </w:r>
          </w:p>
        </w:tc>
        <w:tc>
          <w:tcPr>
            <w:tcW w:type="dxa" w:w="32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Flutterwave: rawBody.toString not stringify(Buffer)</w:t>
            </w:r>
          </w:p>
        </w:tc>
        <w:tc>
          <w:tcPr>
            <w:tcW w:type="dxa" w:w="34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grep -n "rawBody.toString" webhooks/flutterwave.ts</w:t>
            </w:r>
          </w:p>
        </w:tc>
        <w:tc>
          <w:tcPr>
            <w:tcW w:type="dxa" w:w="10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CRITICAL</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15</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Sentry PII regex ordered BVN→ACCT→TIN</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grep -n "11.*10.*8" app.ts → correct order</w:t>
            </w:r>
          </w:p>
        </w:tc>
        <w:tc>
          <w:tcPr>
            <w:tcW w:type="dxa" w:w="1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HIGH</w:t>
            </w:r>
          </w:p>
        </w:tc>
      </w:tr>
      <w:tr>
        <w:tc>
          <w:tcPr>
            <w:tcW w:type="dxa" w:w="4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16</w:t>
            </w:r>
          </w:p>
        </w:tc>
        <w:tc>
          <w:tcPr>
            <w:tcW w:type="dxa" w:w="32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prom-client singleton guard present</w:t>
            </w:r>
          </w:p>
        </w:tc>
        <w:tc>
          <w:tcPr>
            <w:tcW w:type="dxa" w:w="34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grep -n '__taxbridge_prom_registry' metrics.ts</w:t>
            </w:r>
          </w:p>
        </w:tc>
        <w:tc>
          <w:tcPr>
            <w:tcW w:type="dxa" w:w="10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HIGH</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17</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Redis role_version uses setex (with TTL)</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grep -n 'setex.*role_version' requireRole.ts</w:t>
            </w:r>
          </w:p>
        </w:tc>
        <w:tc>
          <w:tcPr>
            <w:tcW w:type="dxa" w:w="1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CRITICAL</w:t>
            </w:r>
          </w:p>
        </w:tc>
      </w:tr>
      <w:tr>
        <w:tc>
          <w:tcPr>
            <w:tcW w:type="dxa" w:w="4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18</w:t>
            </w:r>
          </w:p>
        </w:tc>
        <w:tc>
          <w:tcPr>
            <w:tcW w:type="dxa" w:w="32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Redis cache write is non-blocking</w:t>
            </w:r>
          </w:p>
        </w:tc>
        <w:tc>
          <w:tcPr>
            <w:tcW w:type="dxa" w:w="34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grep -n '.catch' dashboard.ts → on setex call</w:t>
            </w:r>
          </w:p>
        </w:tc>
        <w:tc>
          <w:tcPr>
            <w:tcW w:type="dxa" w:w="10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HIGH</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19</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jose installed in admin workspace</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grep -n "jose" admin/package.json</w:t>
            </w:r>
          </w:p>
        </w:tc>
        <w:tc>
          <w:tcPr>
            <w:tcW w:type="dxa" w:w="1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CRITICAL</w:t>
            </w:r>
          </w:p>
        </w:tc>
      </w:tr>
      <w:tr>
        <w:tc>
          <w:tcPr>
            <w:tcW w:type="dxa" w:w="4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20</w:t>
            </w:r>
          </w:p>
        </w:tc>
        <w:tc>
          <w:tcPr>
            <w:tcW w:type="dxa" w:w="32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Express bound to 0.0.0.0, PORT from env</w:t>
            </w:r>
          </w:p>
        </w:tc>
        <w:tc>
          <w:tcPr>
            <w:tcW w:type="dxa" w:w="34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grep -n "0.0.0.0" app.ts + grep "process.env.PORT"</w:t>
            </w:r>
          </w:p>
        </w:tc>
        <w:tc>
          <w:tcPr>
            <w:tcW w:type="dxa" w:w="10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CRITICAL</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21</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validateEnv.ts first import in app.ts</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grep -n 'validateEnv' app.ts → line 1</w:t>
            </w:r>
          </w:p>
        </w:tc>
        <w:tc>
          <w:tcPr>
            <w:tcW w:type="dxa" w:w="1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CRITICAL</w:t>
            </w:r>
          </w:p>
        </w:tc>
      </w:tr>
      <w:tr>
        <w:tc>
          <w:tcPr>
            <w:tcW w:type="dxa" w:w="4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22</w:t>
            </w:r>
          </w:p>
        </w:tc>
        <w:tc>
          <w:tcPr>
            <w:tcW w:type="dxa" w:w="32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render.yaml committed and valid</w:t>
            </w:r>
          </w:p>
        </w:tc>
        <w:tc>
          <w:tcPr>
            <w:tcW w:type="dxa" w:w="34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cat render.yaml | head -5</w:t>
            </w:r>
          </w:p>
        </w:tc>
        <w:tc>
          <w:tcPr>
            <w:tcW w:type="dxa" w:w="10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HIGH</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23</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keepAlive cron registered in orchestrator</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grep -n 'keepAlive' cron/orchestrator.ts</w:t>
            </w:r>
          </w:p>
        </w:tc>
        <w:tc>
          <w:tcPr>
            <w:tcW w:type="dxa" w:w="1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HIGH</w:t>
            </w:r>
          </w:p>
        </w:tc>
      </w:tr>
      <w:tr>
        <w:tc>
          <w:tcPr>
            <w:tcW w:type="dxa" w:w="4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24</w:t>
            </w:r>
          </w:p>
        </w:tc>
        <w:tc>
          <w:tcPr>
            <w:tcW w:type="dxa" w:w="32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EAS compileSdkVersion = 36 (staging + production)</w:t>
            </w:r>
          </w:p>
        </w:tc>
        <w:tc>
          <w:tcPr>
            <w:tcW w:type="dxa" w:w="34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grep -c "compileSdkVersion.*36" mobile/eas.json → ≥2</w:t>
            </w:r>
          </w:p>
        </w:tc>
        <w:tc>
          <w:tcPr>
            <w:tcW w:type="dxa" w:w="10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CRITICAL</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25</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Snyk: 0 HIGH/CRITICAL vulnerabilities</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npx snyk test --severity-threshold=high</w:t>
            </w:r>
          </w:p>
        </w:tc>
        <w:tc>
          <w:tcPr>
            <w:tcW w:type="dxa" w:w="1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CRITICAL</w:t>
            </w:r>
          </w:p>
        </w:tc>
      </w:tr>
      <w:tr>
        <w:tc>
          <w:tcPr>
            <w:tcW w:type="dxa" w:w="4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26</w:t>
            </w:r>
          </w:p>
        </w:tc>
        <w:tc>
          <w:tcPr>
            <w:tcW w:type="dxa" w:w="32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.env files not in git</w:t>
            </w:r>
          </w:p>
        </w:tc>
        <w:tc>
          <w:tcPr>
            <w:tcW w:type="dxa" w:w="34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git ls-files | grep '\.env\.' | grep -v '.example'</w:t>
            </w:r>
          </w:p>
        </w:tc>
        <w:tc>
          <w:tcPr>
            <w:tcW w:type="dxa" w:w="10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CRITICAL</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27</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i18n completeness</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yarn i18n:check → exit 0</w:t>
            </w:r>
          </w:p>
        </w:tc>
        <w:tc>
          <w:tcPr>
            <w:tcW w:type="dxa" w:w="1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HIGH</w:t>
            </w:r>
          </w:p>
        </w:tc>
      </w:tr>
      <w:tr>
        <w:tc>
          <w:tcPr>
            <w:tcW w:type="dxa" w:w="4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28</w:t>
            </w:r>
          </w:p>
        </w:tc>
        <w:tc>
          <w:tcPr>
            <w:tcW w:type="dxa" w:w="32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Render health endpoint returns healthy</w:t>
            </w:r>
          </w:p>
        </w:tc>
        <w:tc>
          <w:tcPr>
            <w:tcW w:type="dxa" w:w="34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curl -f .../api/v2/monitoring/health | grep healthy</w:t>
            </w:r>
          </w:p>
        </w:tc>
        <w:tc>
          <w:tcPr>
            <w:tcW w:type="dxa" w:w="10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CRITICAL</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29</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Blue-green green slot health check passes</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curl -f taxbridge-api-green.onrender.com/health</w:t>
            </w:r>
          </w:p>
        </w:tc>
        <w:tc>
          <w:tcPr>
            <w:tcW w:type="dxa" w:w="1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CRITICAL</w:t>
            </w:r>
          </w:p>
        </w:tc>
      </w:tr>
      <w:tr>
        <w:tc>
          <w:tcPr>
            <w:tcW w:type="dxa" w:w="4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30</w:t>
            </w:r>
          </w:p>
        </w:tc>
        <w:tc>
          <w:tcPr>
            <w:tcW w:type="dxa" w:w="32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Admin panel returns HTTP 200</w:t>
            </w:r>
          </w:p>
        </w:tc>
        <w:tc>
          <w:tcPr>
            <w:tcW w:type="dxa" w:w="34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curl -o /dev/null -w "%{http_code}" taxbridge.vercel.app</w:t>
            </w:r>
          </w:p>
        </w:tc>
        <w:tc>
          <w:tcPr>
            <w:tcW w:type="dxa" w:w="10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CRITICAL</w:t>
            </w:r>
          </w:p>
        </w:tc>
      </w:tr>
    </w:tbl>
    <w:p>
      <w:r>
        <w:br w:type="page"/>
      </w:r>
    </w:p>
    <w:p>
      <w:pPr>
        <w:pStyle w:val="Heading1"/>
        <w:spacing w:before="400" w:after="200"/>
      </w:pPr>
      <w:r>
        <w:rPr>
          <w:rFonts w:ascii="Arial" w:cs="Arial" w:eastAsia="Arial" w:hAnsi="Arial"/>
          <w:b/>
          <w:bCs/>
          <w:color w:val="0A2540"/>
          <w:sz w:val="36"/>
          <w:szCs w:val="36"/>
        </w:rPr>
        <w:t xml:space="preserve">12. Quick Wins Register</w:t>
      </w:r>
    </w:p>
    <w:p>
      <w:pPr>
        <w:spacing w:before="80" w:after="80"/>
      </w:pPr>
      <w:r>
        <w:rPr>
          <w:rFonts w:ascii="Arial" w:cs="Arial" w:eastAsia="Arial" w:hAnsi="Arial"/>
          <w:color w:val="1A1A2E"/>
          <w:sz w:val="22"/>
          <w:szCs w:val="22"/>
        </w:rPr>
        <w:t xml:space="preserve">High-impact, low-effort items. Each takes ≤60 minutes. Execute opportunistically between implementation phases.</w:t>
      </w:r>
    </w:p>
    <w:p>
      <w:pPr>
        <w:spacing w:before="160" w:after="0"/>
      </w:pPr>
    </w:p>
    <w:tbl>
      <w:tblPr>
        <w:tblW w:type="dxa" w:w="10080"/>
        <w:tblBorders>
          <w:top w:val="single" w:color="auto" w:sz="4"/>
          <w:start w:val="single" w:color="auto" w:sz="4"/>
          <w:bottom w:val="single" w:color="auto" w:sz="4"/>
          <w:end w:val="single" w:color="auto" w:sz="4"/>
          <w:insideH w:val="single" w:color="auto" w:sz="4"/>
          <w:insideV w:val="single" w:color="auto" w:sz="4"/>
        </w:tblBorders>
      </w:tblPr>
      <w:tblGrid>
        <w:gridCol w:w="400"/>
        <w:gridCol w:w="5200"/>
        <w:gridCol w:w="800"/>
        <w:gridCol w:w="1680"/>
      </w:tblGrid>
      <w:tr>
        <w:trPr>
          <w:tblHeader/>
        </w:trPr>
        <w:tc>
          <w:tcPr>
            <w:tcW w:type="dxa" w:w="40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520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Item</w:t>
            </w:r>
          </w:p>
        </w:tc>
        <w:tc>
          <w:tcPr>
            <w:tcW w:type="dxa" w:w="80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Time</w:t>
            </w:r>
          </w:p>
        </w:tc>
        <w:tc>
          <w:tcPr>
            <w:tcW w:type="dxa" w:w="1680"/>
            <w:gridSpan w:val="1"/>
            <w:tcBorders>
              <w:top w:val="single" w:color="000000" w:sz="1"/>
              <w:left w:val="single" w:color="000000" w:sz="1"/>
              <w:bottom w:val="single" w:color="000000" w:sz="1"/>
              <w:right w:val="single" w:color="000000" w:sz="1"/>
            </w:tcBorders>
            <w:shd w:fill="0A2540" w:val="clear"/>
            <w:tcMar>
              <w:top w:type="dxa" w:w="100"/>
              <w:left w:type="dxa" w:w="140"/>
              <w:bottom w:type="dxa" w:w="100"/>
              <w:right w:type="dxa" w:w="140"/>
            </w:tcMar>
            <w:vAlign w:val="center"/>
          </w:tcPr>
          <w:p>
            <w:r>
              <w:rPr>
                <w:rFonts w:ascii="Arial" w:cs="Arial" w:eastAsia="Arial" w:hAnsi="Arial"/>
                <w:b/>
                <w:bCs/>
                <w:color w:val="FFFFFF"/>
                <w:sz w:val="20"/>
                <w:szCs w:val="20"/>
              </w:rPr>
              <w:t xml:space="preserve">Phase</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QW-01</w:t>
            </w:r>
          </w:p>
        </w:tc>
        <w:tc>
          <w:tcPr>
            <w:tcW w:type="dxa" w:w="5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Husky pre-commit: FIRS gate + animation token gate + NRSt typo gate</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10 min</w:t>
            </w:r>
          </w:p>
        </w:tc>
        <w:tc>
          <w:tcPr>
            <w:tcW w:type="dxa" w:w="1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Phase 6</w:t>
            </w:r>
          </w:p>
        </w:tc>
      </w:tr>
      <w:tr>
        <w:tc>
          <w:tcPr>
            <w:tcW w:type="dxa" w:w="4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QW-02</w:t>
            </w:r>
          </w:p>
        </w:tc>
        <w:tc>
          <w:tcPr>
            <w:tcW w:type="dxa" w:w="52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Pidgin copy for anomaly signals 4–9 (12 missing keys in pidgin.json)</w:t>
            </w:r>
          </w:p>
        </w:tc>
        <w:tc>
          <w:tcPr>
            <w:tcW w:type="dxa" w:w="8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45 min</w:t>
            </w:r>
          </w:p>
        </w:tc>
        <w:tc>
          <w:tcPr>
            <w:tcW w:type="dxa" w:w="16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Phase 1 Step 2</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QW-03</w:t>
            </w:r>
          </w:p>
        </w:tc>
        <w:tc>
          <w:tcPr>
            <w:tcW w:type="dxa" w:w="5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accessibilityLabel on TaxHealthGauge — verify a11y.taxHealthGauge i18n key</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20 min</w:t>
            </w:r>
          </w:p>
        </w:tc>
        <w:tc>
          <w:tcPr>
            <w:tcW w:type="dxa" w:w="1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Phase 1 Step 6</w:t>
            </w:r>
          </w:p>
        </w:tc>
      </w:tr>
      <w:tr>
        <w:tc>
          <w:tcPr>
            <w:tcW w:type="dxa" w:w="4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QW-04</w:t>
            </w:r>
          </w:p>
        </w:tc>
        <w:tc>
          <w:tcPr>
            <w:tcW w:type="dxa" w:w="52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Render keep-alive cron (*/14 * * * *) in orchestrator</w:t>
            </w:r>
          </w:p>
        </w:tc>
        <w:tc>
          <w:tcPr>
            <w:tcW w:type="dxa" w:w="8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10 min</w:t>
            </w:r>
          </w:p>
        </w:tc>
        <w:tc>
          <w:tcPr>
            <w:tcW w:type="dxa" w:w="16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Phase 2 MOD-31</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QW-05</w:t>
            </w:r>
          </w:p>
        </w:tc>
        <w:tc>
          <w:tcPr>
            <w:tcW w:type="dxa" w:w="5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validateEnv.ts as first import in app.ts</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5 min</w:t>
            </w:r>
          </w:p>
        </w:tc>
        <w:tc>
          <w:tcPr>
            <w:tcW w:type="dxa" w:w="1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Phase 0</w:t>
            </w:r>
          </w:p>
        </w:tc>
      </w:tr>
      <w:tr>
        <w:tc>
          <w:tcPr>
            <w:tcW w:type="dxa" w:w="4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QW-06</w:t>
            </w:r>
          </w:p>
        </w:tc>
        <w:tc>
          <w:tcPr>
            <w:tcW w:type="dxa" w:w="52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express.raw("/webhooks") before express.json() in app.ts</w:t>
            </w:r>
          </w:p>
        </w:tc>
        <w:tc>
          <w:tcPr>
            <w:tcW w:type="dxa" w:w="8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5 min</w:t>
            </w:r>
          </w:p>
        </w:tc>
        <w:tc>
          <w:tcPr>
            <w:tcW w:type="dxa" w:w="16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Phase 0</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QW-07</w:t>
            </w:r>
          </w:p>
        </w:tc>
        <w:tc>
          <w:tcPr>
            <w:tcW w:type="dxa" w:w="5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jose added to admin workspace (Edge-compatible JWT)</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5 min</w:t>
            </w:r>
          </w:p>
        </w:tc>
        <w:tc>
          <w:tcPr>
            <w:tcW w:type="dxa" w:w="1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Phase 4</w:t>
            </w:r>
          </w:p>
        </w:tc>
      </w:tr>
      <w:tr>
        <w:tc>
          <w:tcPr>
            <w:tcW w:type="dxa" w:w="4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QW-08</w:t>
            </w:r>
          </w:p>
        </w:tc>
        <w:tc>
          <w:tcPr>
            <w:tcW w:type="dxa" w:w="52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Idempotent CI release job (git tag 2&gt;/dev/null || echo exists)</w:t>
            </w:r>
          </w:p>
        </w:tc>
        <w:tc>
          <w:tcPr>
            <w:tcW w:type="dxa" w:w="8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15 min</w:t>
            </w:r>
          </w:p>
        </w:tc>
        <w:tc>
          <w:tcPr>
            <w:tcW w:type="dxa" w:w="16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Phase 5</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QW-09</w:t>
            </w:r>
          </w:p>
        </w:tc>
        <w:tc>
          <w:tcPr>
            <w:tcW w:type="dxa" w:w="5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SENTRY_DSN added to EAS staging and production env blocks</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5 min</w:t>
            </w:r>
          </w:p>
        </w:tc>
        <w:tc>
          <w:tcPr>
            <w:tcW w:type="dxa" w:w="1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Phase 3</w:t>
            </w:r>
          </w:p>
        </w:tc>
      </w:tr>
      <w:tr>
        <w:tc>
          <w:tcPr>
            <w:tcW w:type="dxa" w:w="4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QW-10</w:t>
            </w:r>
          </w:p>
        </w:tc>
        <w:tc>
          <w:tcPr>
            <w:tcW w:type="dxa" w:w="52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git rm --cached backend/.env.* + verify .gitignore coverage</w:t>
            </w:r>
          </w:p>
        </w:tc>
        <w:tc>
          <w:tcPr>
            <w:tcW w:type="dxa" w:w="8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5 min</w:t>
            </w:r>
          </w:p>
        </w:tc>
        <w:tc>
          <w:tcPr>
            <w:tcW w:type="dxa" w:w="16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Phase 0</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QW-11</w:t>
            </w:r>
          </w:p>
        </w:tc>
        <w:tc>
          <w:tcPr>
            <w:tcW w:type="dxa" w:w="5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Seed smokeTestUser.ts migration for deterministic CI smoke-test credentials</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20 min</w:t>
            </w:r>
          </w:p>
        </w:tc>
        <w:tc>
          <w:tcPr>
            <w:tcW w:type="dxa" w:w="1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Phase 5</w:t>
            </w:r>
          </w:p>
        </w:tc>
      </w:tr>
      <w:tr>
        <w:tc>
          <w:tcPr>
            <w:tcW w:type="dxa" w:w="4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QW-12</w:t>
            </w:r>
          </w:p>
        </w:tc>
        <w:tc>
          <w:tcPr>
            <w:tcW w:type="dxa" w:w="52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eventBus.setMaxListeners(30) — prevents MaxListenersExceeded warning</w:t>
            </w:r>
          </w:p>
        </w:tc>
        <w:tc>
          <w:tcPr>
            <w:tcW w:type="dxa" w:w="8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2 min</w:t>
            </w:r>
          </w:p>
        </w:tc>
        <w:tc>
          <w:tcPr>
            <w:tcW w:type="dxa" w:w="16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Phase 2 MOD-31</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QW-13</w:t>
            </w:r>
          </w:p>
        </w:tc>
        <w:tc>
          <w:tcPr>
            <w:tcW w:type="dxa" w:w="5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metro.config.js blockList: exclude backend/ and admin/ from mobile bundle</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10 min</w:t>
            </w:r>
          </w:p>
        </w:tc>
        <w:tc>
          <w:tcPr>
            <w:tcW w:type="dxa" w:w="1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Phase 3</w:t>
            </w:r>
          </w:p>
        </w:tc>
      </w:tr>
      <w:tr>
        <w:tc>
          <w:tcPr>
            <w:tcW w:type="dxa" w:w="4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QW-14</w:t>
            </w:r>
          </w:p>
        </w:tc>
        <w:tc>
          <w:tcPr>
            <w:tcW w:type="dxa" w:w="52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React.memo on AnomalyCard + useCallback on refetch reference</w:t>
            </w:r>
          </w:p>
        </w:tc>
        <w:tc>
          <w:tcPr>
            <w:tcW w:type="dxa" w:w="80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15 min</w:t>
            </w:r>
          </w:p>
        </w:tc>
        <w:tc>
          <w:tcPr>
            <w:tcW w:type="dxa" w:w="1680"/>
            <w:tcBorders>
              <w:top w:val="single" w:color="D1D5DB" w:sz="1"/>
              <w:left w:val="single" w:color="D1D5DB" w:sz="1"/>
              <w:bottom w:val="single" w:color="D1D5DB" w:sz="1"/>
              <w:right w:val="single" w:color="D1D5DB" w:sz="1"/>
            </w:tcBorders>
            <w:shd w:fill="EEF3F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Phase 3</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QW-15</w:t>
            </w:r>
          </w:p>
        </w:tc>
        <w:tc>
          <w:tcPr>
            <w:tcW w:type="dxa" w:w="5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i18n completeness check script (yarn i18n:check) added to CI pipeline</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20 min</w:t>
            </w:r>
          </w:p>
        </w:tc>
        <w:tc>
          <w:tcPr>
            <w:tcW w:type="dxa" w:w="1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Phase 5</w:t>
            </w:r>
          </w:p>
        </w:tc>
      </w:tr>
    </w:tbl>
    <w:p>
      <w:r>
        <w:br w:type="page"/>
      </w:r>
    </w:p>
    <w:p>
      <w:pPr>
        <w:pStyle w:val="Heading1"/>
        <w:spacing w:before="400" w:after="200"/>
      </w:pPr>
      <w:r>
        <w:rPr>
          <w:rFonts w:ascii="Arial" w:cs="Arial" w:eastAsia="Arial" w:hAnsi="Arial"/>
          <w:b/>
          <w:bCs/>
          <w:color w:val="0A2540"/>
          <w:sz w:val="36"/>
          <w:szCs w:val="36"/>
        </w:rPr>
        <w:t xml:space="preserve">13. Completion Signal</w:t>
      </w:r>
    </w:p>
    <w:p>
      <w:pPr>
        <w:pBdr>
          <w:left w:val="single" w:color="DC2626" w:sz="16" w:space="4"/>
        </w:pBdr>
        <w:shd w:fill="FAFAFA" w:val="clear"/>
        <w:spacing w:before="120" w:after="120"/>
        <w:ind w:left="360"/>
      </w:pPr>
      <w:r>
        <w:rPr>
          <w:rFonts w:ascii="Arial" w:cs="Arial" w:eastAsia="Arial" w:hAnsi="Arial"/>
          <w:sz w:val="22"/>
          <w:szCs w:val="22"/>
        </w:rPr>
        <w:t xml:space="preserve">🚦  </w:t>
      </w:r>
      <w:r>
        <w:rPr>
          <w:rFonts w:ascii="Arial" w:cs="Arial" w:eastAsia="Arial" w:hAnsi="Arial"/>
          <w:b/>
          <w:bCs/>
          <w:color w:val="0A2540"/>
          <w:sz w:val="22"/>
          <w:szCs w:val="22"/>
        </w:rPr>
        <w:t xml:space="preserve">Emit ONLY after all 30 pre-deploy items in Section 11 are confirmed ✓.  </w:t>
      </w:r>
      <w:r>
        <w:rPr>
          <w:rFonts w:ascii="Arial" w:cs="Arial" w:eastAsia="Arial" w:hAnsi="Arial"/>
          <w:color w:val="1A1A2E"/>
          <w:sz w:val="22"/>
          <w:szCs w:val="22"/>
        </w:rPr>
        <w:t xml:space="preserve">Do not emit if any gate is failing, any test is red, or any deployment returns non-200.</w:t>
      </w:r>
    </w:p>
    <w:p>
      <w:pPr>
        <w:spacing w:before="320" w:after="0"/>
      </w:pPr>
    </w:p>
    <w:p>
      <w:pPr>
        <w:pBdr>
          <w:top w:val="single" w:color="E6A817" w:sz="4"/>
          <w:bottom w:val="single" w:color="E6A817" w:sz="4"/>
          <w:left w:val="single" w:color="E6A817" w:sz="4"/>
          <w:right w:val="single" w:color="E6A817" w:sz="4"/>
        </w:pBdr>
        <w:shd w:fill="0A2540" w:val="clear"/>
        <w:spacing w:before="200" w:after="60"/>
        <w:ind w:left="360" w:right="360"/>
      </w:pPr>
      <w:r>
        <w:rPr>
          <w:rFonts w:ascii="Arial" w:cs="Arial" w:eastAsia="Arial" w:hAnsi="Arial"/>
          <w:b/>
          <w:bCs/>
          <w:color w:val="E6A817"/>
          <w:sz w:val="24"/>
          <w:szCs w:val="24"/>
        </w:rPr>
        <w:t xml:space="preserve">TaxBridge V11.0 Intelligent Operations Layer — forged.</w:t>
      </w:r>
    </w:p>
    <w:p>
      <w:pPr>
        <w:shd w:fill="0A2540" w:val="clear"/>
        <w:spacing w:before="0" w:after="0"/>
        <w:ind w:left="360" w:right="360"/>
      </w:pPr>
      <w:r>
        <w:rPr>
          <w:rFonts w:ascii="Courier New" w:cs="Courier New" w:eastAsia="Courier New" w:hAnsi="Courier New"/>
          <w:color w:val="A3B8CC"/>
          <w:sz w:val="18"/>
          <w:szCs w:val="18"/>
        </w:rPr>
        <w:t xml:space="preserve">NTA 2025-compliant  ·  WCAG 2.1 AA accessible  ·  2G-optimized</w:t>
      </w:r>
    </w:p>
    <w:p>
      <w:pPr>
        <w:shd w:fill="0A2540" w:val="clear"/>
        <w:spacing w:before="0" w:after="0"/>
        <w:ind w:left="360" w:right="360"/>
      </w:pPr>
      <w:r>
        <w:rPr>
          <w:rFonts w:ascii="Courier New" w:cs="Courier New" w:eastAsia="Courier New" w:hAnsi="Courier New"/>
          <w:color w:val="A3B8CC"/>
          <w:sz w:val="18"/>
          <w:szCs w:val="18"/>
        </w:rPr>
        <w:t xml:space="preserve">NDPC audit-ready  ·  Horizontally scalable  ·  Blue-green deployed</w:t>
      </w:r>
    </w:p>
    <w:p>
      <w:pPr>
        <w:shd w:fill="0A2540" w:val="clear"/>
        <w:spacing w:before="0" w:after="0"/>
        <w:ind w:left="360" w:right="360"/>
      </w:pPr>
      <w:r>
        <w:rPr>
          <w:rFonts w:ascii="Courier New" w:cs="Courier New" w:eastAsia="Courier New" w:hAnsi="Courier New"/>
          <w:color w:val="0A2540"/>
          <w:sz w:val="18"/>
          <w:szCs w:val="18"/>
        </w:rPr>
        <w:t xml:space="preserve"/>
      </w:r>
    </w:p>
    <w:p>
      <w:pPr>
        <w:shd w:fill="0A2540" w:val="clear"/>
        <w:spacing w:before="0" w:after="0"/>
        <w:ind w:left="360" w:right="360"/>
      </w:pPr>
      <w:r>
        <w:rPr>
          <w:rFonts w:ascii="Courier New" w:cs="Courier New" w:eastAsia="Courier New" w:hAnsi="Courier New"/>
          <w:color w:val="E2E8F0"/>
          <w:sz w:val="18"/>
          <w:szCs w:val="18"/>
        </w:rPr>
        <w:t xml:space="preserve">Backend (Render):   https://taxbridge-api-ker8.onrender.com</w:t>
      </w:r>
    </w:p>
    <w:p>
      <w:pPr>
        <w:shd w:fill="0A2540" w:val="clear"/>
        <w:spacing w:before="0" w:after="0"/>
        <w:ind w:left="360" w:right="360"/>
      </w:pPr>
      <w:r>
        <w:rPr>
          <w:rFonts w:ascii="Courier New" w:cs="Courier New" w:eastAsia="Courier New" w:hAnsi="Courier New"/>
          <w:color w:val="E2E8F0"/>
          <w:sz w:val="18"/>
          <w:szCs w:val="18"/>
        </w:rPr>
        <w:t xml:space="preserve">Health endpoint:    https://taxbridge-api-ker8.onrender.com/api/v2/monitoring/health</w:t>
      </w:r>
    </w:p>
    <w:p>
      <w:pPr>
        <w:shd w:fill="0A2540" w:val="clear"/>
        <w:spacing w:before="0" w:after="0"/>
        <w:ind w:left="360" w:right="360"/>
      </w:pPr>
      <w:r>
        <w:rPr>
          <w:rFonts w:ascii="Courier New" w:cs="Courier New" w:eastAsia="Courier New" w:hAnsi="Courier New"/>
          <w:color w:val="E2E8F0"/>
          <w:sz w:val="18"/>
          <w:szCs w:val="18"/>
        </w:rPr>
        <w:t xml:space="preserve">Admin (Vercel):     https://taxbridge.vercel.app</w:t>
      </w:r>
    </w:p>
    <w:p>
      <w:pPr>
        <w:shd w:fill="0A2540" w:val="clear"/>
        <w:spacing w:before="0" w:after="0"/>
        <w:ind w:left="360" w:right="360"/>
      </w:pPr>
      <w:r>
        <w:rPr>
          <w:rFonts w:ascii="Courier New" w:cs="Courier New" w:eastAsia="Courier New" w:hAnsi="Courier New"/>
          <w:color w:val="E2E8F0"/>
          <w:sz w:val="18"/>
          <w:szCs w:val="18"/>
        </w:rPr>
        <w:t xml:space="preserve">Mobile:             Android APK — EAS v11.0.0 (Google Play Internal Testing)</w:t>
      </w:r>
    </w:p>
    <w:p>
      <w:pPr>
        <w:shd w:fill="0A2540" w:val="clear"/>
        <w:spacing w:before="0" w:after="0"/>
        <w:ind w:left="360" w:right="360"/>
      </w:pPr>
      <w:r>
        <w:rPr>
          <w:rFonts w:ascii="Courier New" w:cs="Courier New" w:eastAsia="Courier New" w:hAnsi="Courier New"/>
          <w:color w:val="E2E8F0"/>
          <w:sz w:val="18"/>
          <w:szCs w:val="18"/>
        </w:rPr>
        <w:t xml:space="preserve">Release:            github.com/Scardubu/taxbridge/releases/tag/v11.0.0</w:t>
      </w:r>
    </w:p>
    <w:p>
      <w:pPr>
        <w:shd w:fill="0A2540" w:val="clear"/>
        <w:spacing w:before="0" w:after="0"/>
        <w:ind w:left="360" w:right="360"/>
      </w:pPr>
      <w:r>
        <w:rPr>
          <w:rFonts w:ascii="Courier New" w:cs="Courier New" w:eastAsia="Courier New" w:hAnsi="Courier New"/>
          <w:color w:val="0A2540"/>
          <w:sz w:val="18"/>
          <w:szCs w:val="18"/>
        </w:rPr>
        <w:t xml:space="preserve"/>
      </w:r>
    </w:p>
    <w:p>
      <w:pPr>
        <w:shd w:fill="0A2540" w:val="clear"/>
        <w:spacing w:before="0" w:after="0"/>
        <w:ind w:left="360" w:right="360"/>
      </w:pPr>
      <w:r>
        <w:rPr>
          <w:rFonts w:ascii="Courier New" w:cs="Courier New" w:eastAsia="Courier New" w:hAnsi="Courier New"/>
          <w:color w:val="E2E8F0"/>
          <w:sz w:val="18"/>
          <w:szCs w:val="18"/>
        </w:rPr>
        <w:t xml:space="preserve">Render: warm. Keep-alive cron active (*/14 * * * *).</w:t>
      </w:r>
    </w:p>
    <w:p>
      <w:pPr>
        <w:shd w:fill="0A2540" w:val="clear"/>
        <w:spacing w:before="0" w:after="0"/>
        <w:ind w:left="360" w:right="360"/>
      </w:pPr>
      <w:r>
        <w:rPr>
          <w:rFonts w:ascii="Courier New" w:cs="Courier New" w:eastAsia="Courier New" w:hAnsi="Courier New"/>
          <w:color w:val="E2E8F0"/>
          <w:sz w:val="18"/>
          <w:szCs w:val="18"/>
        </w:rPr>
        <w:t xml:space="preserve">Blue-green: last swap confirmed. Rollback slot standing by.</w:t>
      </w:r>
    </w:p>
    <w:p>
      <w:pPr>
        <w:shd w:fill="0A2540" w:val="clear"/>
        <w:spacing w:before="0" w:after="0"/>
        <w:ind w:left="360" w:right="360"/>
      </w:pPr>
      <w:r>
        <w:rPr>
          <w:rFonts w:ascii="Courier New" w:cs="Courier New" w:eastAsia="Courier New" w:hAnsi="Courier New"/>
          <w:color w:val="E2E8F0"/>
          <w:sz w:val="18"/>
          <w:szCs w:val="18"/>
        </w:rPr>
        <w:t xml:space="preserve">NRS circuit: closed. Stamp queue draining normally.</w:t>
      </w:r>
    </w:p>
    <w:p>
      <w:pPr>
        <w:shd w:fill="0A2540" w:val="clear"/>
        <w:spacing w:before="0" w:after="0"/>
        <w:ind w:left="360" w:right="360"/>
      </w:pPr>
      <w:r>
        <w:rPr>
          <w:rFonts w:ascii="Courier New" w:cs="Courier New" w:eastAsia="Courier New" w:hAnsi="Courier New"/>
          <w:color w:val="E2E8F0"/>
          <w:sz w:val="18"/>
          <w:szCs w:val="18"/>
        </w:rPr>
        <w:t xml:space="preserve">Event bus: anomaly.detected → snapshot → notification → audit (all paths verified).</w:t>
      </w:r>
    </w:p>
    <w:p>
      <w:pPr>
        <w:shd w:fill="0A2540" w:val="clear"/>
        <w:spacing w:before="0" w:after="0"/>
        <w:ind w:left="360" w:right="360"/>
      </w:pPr>
      <w:r>
        <w:rPr>
          <w:rFonts w:ascii="Courier New" w:cs="Courier New" w:eastAsia="Courier New" w:hAnsi="Courier New"/>
          <w:color w:val="E2E8F0"/>
          <w:sz w:val="18"/>
          <w:szCs w:val="18"/>
        </w:rPr>
        <w:t xml:space="preserve">Nigerian SME workflows: VAT, WHT, PAYE reachable from dashboard in ≤ 2 taps.</w:t>
      </w:r>
    </w:p>
    <w:p>
      <w:pPr>
        <w:shd w:fill="0A2540" w:val="clear"/>
        <w:spacing w:before="0" w:after="0"/>
        <w:ind w:left="360" w:right="360"/>
      </w:pPr>
      <w:r>
        <w:rPr>
          <w:rFonts w:ascii="Courier New" w:cs="Courier New" w:eastAsia="Courier New" w:hAnsi="Courier New"/>
          <w:color w:val="E2E8F0"/>
          <w:sz w:val="18"/>
          <w:szCs w:val="18"/>
        </w:rPr>
        <w:t xml:space="preserve">Pidgin locale: complete. Lagos trader reads naturally, not literally.</w:t>
      </w:r>
    </w:p>
    <w:p>
      <w:pPr>
        <w:shd w:fill="0A2540" w:val="clear"/>
        <w:spacing w:before="0" w:after="200"/>
        <w:ind w:left="360" w:right="360"/>
      </w:pPr>
    </w:p>
    <w:p>
      <w:pPr>
        <w:spacing w:before="400" w:after="0"/>
      </w:pPr>
    </w:p>
    <w:p>
      <w:pPr>
        <w:pBdr>
          <w:bottom w:val="single" w:color="E6A817" w:sz="6" w:space="1"/>
        </w:pBdr>
        <w:spacing w:before="160" w:after="160"/>
      </w:pPr>
    </w:p>
    <w:p>
      <w:pPr>
        <w:spacing w:before="200" w:after="0"/>
      </w:pPr>
    </w:p>
    <w:p>
      <w:pPr>
        <w:spacing w:before="80" w:after="80"/>
        <w:jc w:val="center"/>
      </w:pPr>
      <w:r>
        <w:rPr>
          <w:rFonts w:ascii="Arial" w:cs="Arial" w:eastAsia="Arial" w:hAnsi="Arial"/>
          <w:b/>
          <w:bCs/>
          <w:color w:val="6B7280"/>
          <w:sz w:val="20"/>
          <w:szCs w:val="20"/>
        </w:rPr>
        <w:t xml:space="preserve">TAXBRIDGE V11.0 — PRODUCTION ENGINEERING SPECIFICATION</w:t>
      </w:r>
    </w:p>
    <w:p>
      <w:pPr>
        <w:jc w:val="center"/>
      </w:pPr>
      <w:r>
        <w:rPr>
          <w:rFonts w:ascii="Arial" w:cs="Arial" w:eastAsia="Arial" w:hAnsi="Arial"/>
          <w:color w:val="6B7280"/>
          <w:sz w:val="18"/>
          <w:szCs w:val="18"/>
        </w:rPr>
        <w:t xml:space="preserve">Supersedes V10.3 Implementation Prompt (February 22, 2026)  ·  github.com/Scardubu/taxbridge</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A2540" w:sz="4"/>
      </w:pBdr>
      <w:tabs>
        <w:tab w:val="right" w:pos="10080"/>
      </w:tabs>
      <w:spacing w:before="100"/>
    </w:pPr>
    <w:r>
      <w:rPr>
        <w:rFonts w:ascii="Arial" w:cs="Arial" w:eastAsia="Arial" w:hAnsi="Arial"/>
        <w:color w:val="6B7280"/>
        <w:sz w:val="16"/>
        <w:szCs w:val="16"/>
      </w:rPr>
      <w:t xml:space="preserve">github.com/Scardubu/taxbridge  ·  NTA 2025 Compliant  ·  February 2026</w:t>
    </w:r>
    <w:r>
      <w:rPr>
        <w:rFonts w:ascii="Arial" w:cs="Arial" w:eastAsia="Arial" w:hAnsi="Arial"/>
        <w:sz w:val="16"/>
        <w:szCs w:val="16"/>
      </w:rPr>
      <w:t xml:space="preserve">	</w:t>
    </w:r>
    <w:r>
      <w:rPr>
        <w:rFonts w:ascii="Arial" w:cs="Arial" w:eastAsia="Arial" w:hAnsi="Arial"/>
        <w:color w:val="6B7280"/>
        <w:sz w:val="16"/>
        <w:szCs w:val="16"/>
      </w:rPr>
      <w:t xml:space="preserve">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2540" w:sz="4"/>
      </w:pBdr>
      <w:tabs>
        <w:tab w:val="right" w:pos="10080"/>
      </w:tabs>
      <w:spacing w:after="100"/>
    </w:pPr>
    <w:r>
      <w:rPr>
        <w:rFonts w:ascii="Arial" w:cs="Arial" w:eastAsia="Arial" w:hAnsi="Arial"/>
        <w:color w:val="1A3A5C"/>
        <w:sz w:val="18"/>
        <w:szCs w:val="18"/>
      </w:rPr>
      <w:t xml:space="preserve">TaxBridge V11.0 — Production Engineering Specification</w:t>
    </w:r>
    <w:r>
      <w:rPr>
        <w:rFonts w:ascii="Arial" w:cs="Arial" w:eastAsia="Arial" w:hAnsi="Arial"/>
        <w:sz w:val="18"/>
        <w:szCs w:val="18"/>
      </w:rPr>
      <w:t xml:space="preserve">	</w:t>
    </w:r>
    <w:r>
      <w:rPr>
        <w:rFonts w:ascii="Arial" w:cs="Arial" w:eastAsia="Arial" w:hAnsi="Arial"/>
        <w:b/>
        <w:bCs/>
        <w:color w:val="DC2626"/>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A2540"/>
      <w:sz w:val="36"/>
      <w:szCs w:val="36"/>
    </w:rPr>
  </w:style>
  <w:style w:type="paragraph" w:styleId="Heading2">
    <w:name w:val="Heading 2"/>
    <w:basedOn w:val="Normal"/>
    <w:next w:val="Normal"/>
    <w:qFormat/>
    <w:pPr>
      <w:spacing w:before="300" w:after="140"/>
      <w:outlineLvl w:val="1"/>
    </w:pPr>
    <w:rPr>
      <w:rFonts w:ascii="Arial" w:cs="Arial" w:eastAsia="Arial" w:hAnsi="Arial"/>
      <w:b/>
      <w:bCs/>
      <w:color w:val="1A3A5C"/>
      <w:sz w:val="28"/>
      <w:szCs w:val="28"/>
    </w:rPr>
  </w:style>
  <w:style w:type="paragraph" w:styleId="Heading3">
    <w:name w:val="Heading 3"/>
    <w:basedOn w:val="Normal"/>
    <w:next w:val="Normal"/>
    <w:qFormat/>
    <w:pPr>
      <w:spacing w:before="240" w:after="100"/>
      <w:outlineLvl w:val="2"/>
    </w:pPr>
    <w:rPr>
      <w:rFonts w:ascii="Arial" w:cs="Arial" w:eastAsia="Arial" w:hAnsi="Arial"/>
      <w:b/>
      <w:bCs/>
      <w:color w:val="0A2540"/>
      <w:sz w:val="24"/>
      <w:szCs w:val="24"/>
    </w:rPr>
  </w:style>
  <w:style w:type="paragraph" w:styleId="Heading4">
    <w:name w:val="Heading 4"/>
    <w:basedOn w:val="Normal"/>
    <w:next w:val="Normal"/>
    <w:qFormat/>
    <w:pPr>
      <w:spacing w:before="180" w:after="80"/>
      <w:outlineLvl w:val="3"/>
    </w:pPr>
    <w:rPr>
      <w:rFonts w:ascii="Arial" w:cs="Arial" w:eastAsia="Arial" w:hAnsi="Arial"/>
      <w:b/>
      <w:bCs/>
      <w:color w:val="1A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2026-02-26T19:25:04.735Z</dcterms:created>
  <dcterms:modified xsi:type="dcterms:W3CDTF">2026-02-26T19:25:04.735Z</dcterms:modified>
</cp:coreProperties>
</file>

<file path=docProps/custom.xml><?xml version="1.0" encoding="utf-8"?>
<Properties xmlns="http://schemas.openxmlformats.org/officeDocument/2006/custom-properties" xmlns:vt="http://schemas.openxmlformats.org/officeDocument/2006/docPropsVTypes"/>
</file>