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jc w:val="center"/>
        <w:rPr/>
      </w:pPr>
      <w:r>
        <w:rPr>
          <w:rFonts w:eastAsia="Arial" w:cs="Arial"/>
          <w:b/>
          <w:bCs/>
          <w:color w:val="2B4C7E"/>
          <w:sz w:val="40"/>
          <w:szCs w:val="40"/>
        </w:rPr>
        <w:t>FACT REFERENCE DOCUMENT</w:t>
      </w:r>
    </w:p>
    <w:p>
      <w:pPr>
        <w:pStyle w:val="Normal"/>
        <w:spacing w:before="0" w:after="80"/>
        <w:jc w:val="center"/>
        <w:rPr/>
      </w:pPr>
      <w:r>
        <w:rPr>
          <w:rFonts w:eastAsia="Arial" w:cs="Arial"/>
          <w:color w:val="555555"/>
          <w:sz w:val="26"/>
          <w:szCs w:val="26"/>
        </w:rPr>
        <w:t>Officer Misconduct — Lake County Sheriff’s Department</w:t>
      </w:r>
    </w:p>
    <w:p>
      <w:pPr>
        <w:pStyle w:val="Normal"/>
        <w:spacing w:before="0" w:after="80"/>
        <w:jc w:val="center"/>
        <w:rPr/>
      </w:pPr>
      <w:r>
        <w:rPr>
          <w:rFonts w:eastAsia="Arial" w:cs="Arial"/>
          <w:color w:val="555555"/>
          <w:sz w:val="24"/>
          <w:szCs w:val="24"/>
        </w:rPr>
        <w:t>Robertson / Runyan v. Ochoa</w:t>
      </w:r>
    </w:p>
    <w:p>
      <w:pPr>
        <w:pStyle w:val="Normal"/>
        <w:spacing w:before="0" w:after="300"/>
        <w:jc w:val="center"/>
        <w:rPr/>
      </w:pPr>
      <w:r>
        <w:rPr>
          <w:rFonts w:eastAsia="Arial" w:cs="Arial"/>
          <w:color w:val="888888"/>
          <w:sz w:val="22"/>
          <w:szCs w:val="22"/>
        </w:rPr>
        <w:t>Compiled: March 1, 2026</w:t>
      </w:r>
    </w:p>
    <w:p>
      <w:pPr>
        <w:pStyle w:val="Heading1"/>
        <w:rPr/>
      </w:pPr>
      <w:r>
        <w:rPr>
          <w:rFonts w:eastAsia="Arial" w:cs="Arial" w:ascii="Arial" w:hAnsi="Arial"/>
        </w:rPr>
        <w:t>1. OFFICERS INVOLVED</w:t>
      </w:r>
    </w:p>
    <w:p>
      <w:pPr>
        <w:pStyle w:val="Heading2"/>
        <w:rPr/>
      </w:pPr>
      <w:r>
        <w:rPr>
          <w:rFonts w:eastAsia="Arial" w:cs="Arial" w:ascii="Arial" w:hAnsi="Arial"/>
        </w:rPr>
        <w:t>Corporal D. Moll</w:t>
      </w:r>
    </w:p>
    <w:p>
      <w:pPr>
        <w:pStyle w:val="Normal"/>
        <w:spacing w:before="0" w:after="120"/>
        <w:rPr/>
      </w:pPr>
      <w:r>
        <w:rPr>
          <w:rFonts w:eastAsia="Arial" w:cs="Arial"/>
          <w:b/>
          <w:bCs/>
          <w:sz w:val="22"/>
          <w:szCs w:val="22"/>
        </w:rPr>
        <w:t xml:space="preserve">Agency: </w:t>
      </w:r>
      <w:r>
        <w:rPr>
          <w:rFonts w:eastAsia="Arial" w:cs="Arial"/>
          <w:sz w:val="22"/>
          <w:szCs w:val="22"/>
        </w:rPr>
        <w:t>Lake County Sheriff’s Department</w:t>
      </w:r>
    </w:p>
    <w:p>
      <w:pPr>
        <w:pStyle w:val="Normal"/>
        <w:spacing w:before="0" w:after="120"/>
        <w:rPr/>
      </w:pPr>
      <w:r>
        <w:rPr>
          <w:rFonts w:eastAsia="Arial" w:cs="Arial"/>
          <w:b/>
          <w:bCs/>
          <w:sz w:val="22"/>
          <w:szCs w:val="22"/>
        </w:rPr>
        <w:t xml:space="preserve">Case #: </w:t>
      </w:r>
      <w:r>
        <w:rPr>
          <w:rFonts w:eastAsia="Arial" w:cs="Arial"/>
          <w:sz w:val="22"/>
          <w:szCs w:val="22"/>
        </w:rPr>
        <w:t>LS26-1911</w:t>
      </w:r>
    </w:p>
    <w:p>
      <w:pPr>
        <w:pStyle w:val="Normal"/>
        <w:spacing w:before="0" w:after="120"/>
        <w:rPr/>
      </w:pPr>
      <w:r>
        <w:rPr>
          <w:rFonts w:eastAsia="Arial" w:cs="Arial"/>
          <w:b/>
          <w:bCs/>
          <w:sz w:val="22"/>
          <w:szCs w:val="22"/>
        </w:rPr>
        <w:t xml:space="preserve">Date of Incident: </w:t>
      </w:r>
      <w:r>
        <w:rPr>
          <w:rFonts w:eastAsia="Arial" w:cs="Arial"/>
          <w:sz w:val="22"/>
          <w:szCs w:val="22"/>
        </w:rPr>
        <w:t>December 2, 2025</w:t>
      </w:r>
    </w:p>
    <w:p>
      <w:pPr>
        <w:pStyle w:val="Normal"/>
        <w:spacing w:before="0" w:after="120"/>
        <w:rPr/>
      </w:pPr>
      <w:r>
        <w:rPr>
          <w:rFonts w:eastAsia="Arial" w:cs="Arial"/>
          <w:b/>
          <w:bCs/>
          <w:sz w:val="22"/>
          <w:szCs w:val="22"/>
        </w:rPr>
        <w:t xml:space="preserve">Role: </w:t>
      </w:r>
      <w:r>
        <w:rPr>
          <w:rFonts w:eastAsia="Arial" w:cs="Arial"/>
          <w:sz w:val="22"/>
          <w:szCs w:val="22"/>
        </w:rPr>
        <w:t>Responding officer when Julie Robertson reported unauthorized occupants</w:t>
      </w:r>
    </w:p>
    <w:p>
      <w:pPr>
        <w:pStyle w:val="Heading2"/>
        <w:rPr/>
      </w:pPr>
      <w:r>
        <w:rPr>
          <w:rFonts w:eastAsia="Arial" w:cs="Arial" w:ascii="Arial" w:hAnsi="Arial"/>
        </w:rPr>
        <w:t>Corporal Nicholas Blanton</w:t>
      </w:r>
    </w:p>
    <w:p>
      <w:pPr>
        <w:pStyle w:val="Normal"/>
        <w:spacing w:before="0" w:after="120"/>
        <w:rPr/>
      </w:pPr>
      <w:r>
        <w:rPr>
          <w:rFonts w:eastAsia="Arial" w:cs="Arial"/>
          <w:b/>
          <w:bCs/>
          <w:sz w:val="22"/>
          <w:szCs w:val="22"/>
        </w:rPr>
        <w:t xml:space="preserve">Agency: </w:t>
      </w:r>
      <w:r>
        <w:rPr>
          <w:rFonts w:eastAsia="Arial" w:cs="Arial"/>
          <w:sz w:val="22"/>
          <w:szCs w:val="22"/>
        </w:rPr>
        <w:t>Lake County Sheriff’s Department</w:t>
      </w:r>
    </w:p>
    <w:p>
      <w:pPr>
        <w:pStyle w:val="Normal"/>
        <w:spacing w:before="0" w:after="120"/>
        <w:rPr/>
      </w:pPr>
      <w:r>
        <w:rPr>
          <w:rFonts w:eastAsia="Arial" w:cs="Arial"/>
          <w:b/>
          <w:bCs/>
          <w:sz w:val="22"/>
          <w:szCs w:val="22"/>
        </w:rPr>
        <w:t xml:space="preserve">Dates of Incidents: </w:t>
      </w:r>
      <w:r>
        <w:rPr>
          <w:rFonts w:eastAsia="Arial" w:cs="Arial"/>
          <w:sz w:val="22"/>
          <w:szCs w:val="22"/>
        </w:rPr>
        <w:t>December 9, 2025 and February 20, 2026</w:t>
      </w:r>
    </w:p>
    <w:p>
      <w:pPr>
        <w:pStyle w:val="Normal"/>
        <w:spacing w:before="0" w:after="120"/>
        <w:rPr/>
      </w:pPr>
      <w:r>
        <w:rPr>
          <w:rFonts w:eastAsia="Arial" w:cs="Arial"/>
          <w:b/>
          <w:bCs/>
          <w:sz w:val="22"/>
          <w:szCs w:val="22"/>
        </w:rPr>
        <w:t xml:space="preserve">Role: </w:t>
      </w:r>
      <w:r>
        <w:rPr>
          <w:rFonts w:eastAsia="Arial" w:cs="Arial"/>
          <w:sz w:val="22"/>
          <w:szCs w:val="22"/>
        </w:rPr>
        <w:t>Responding officer on Lexi Robertson trespass incident; follow-up contact with agent and Karen Runyan</w:t>
      </w:r>
    </w:p>
    <w:p>
      <w:pPr>
        <w:pStyle w:val="Heading1"/>
        <w:rPr/>
      </w:pPr>
      <w:r>
        <w:rPr>
          <w:rFonts w:eastAsia="Arial" w:cs="Arial" w:ascii="Arial" w:hAnsi="Arial"/>
        </w:rPr>
        <w:t>2. SPECIFIC OFFICER FAILURES</w:t>
      </w:r>
    </w:p>
    <w:p>
      <w:pPr>
        <w:pStyle w:val="Heading2"/>
        <w:rPr/>
      </w:pPr>
      <w:r>
        <w:rPr>
          <w:rFonts w:eastAsia="Arial" w:cs="Arial" w:ascii="Arial" w:hAnsi="Arial"/>
        </w:rPr>
        <w:t>Corporal Moll — December 2, 2025</w:t>
      </w:r>
    </w:p>
    <w:p>
      <w:pPr>
        <w:pStyle w:val="ListParagraph"/>
        <w:numPr>
          <w:ilvl w:val="0"/>
          <w:numId w:val="6"/>
        </w:numPr>
        <w:spacing w:before="0" w:after="100"/>
        <w:rPr/>
      </w:pPr>
      <w:r>
        <w:rPr>
          <w:rFonts w:eastAsia="Arial" w:cs="Arial"/>
          <w:sz w:val="22"/>
          <w:szCs w:val="22"/>
        </w:rPr>
        <w:t>Julie Robertson called the Sheriff’s Department to report unauthorized occupants at 39360 MT HWY 83, Bigfork, MT.</w:t>
      </w:r>
    </w:p>
    <w:p>
      <w:pPr>
        <w:pStyle w:val="ListParagraph"/>
        <w:numPr>
          <w:ilvl w:val="0"/>
          <w:numId w:val="1"/>
        </w:numPr>
        <w:spacing w:before="0" w:after="100"/>
        <w:rPr/>
      </w:pPr>
      <w:r>
        <w:rPr>
          <w:rFonts w:eastAsia="Arial" w:cs="Arial"/>
          <w:sz w:val="22"/>
          <w:szCs w:val="22"/>
        </w:rPr>
        <w:t>Moll responded and spoke with occupant Josh Ochoa, who claimed a verbal agreement with Chris Robertson.</w:t>
      </w:r>
    </w:p>
    <w:p>
      <w:pPr>
        <w:pStyle w:val="ListParagraph"/>
        <w:numPr>
          <w:ilvl w:val="0"/>
          <w:numId w:val="1"/>
        </w:numPr>
        <w:spacing w:before="0" w:after="100"/>
        <w:rPr/>
      </w:pPr>
      <w:r>
        <w:rPr>
          <w:rFonts w:eastAsia="Arial" w:cs="Arial"/>
          <w:b/>
          <w:bCs/>
          <w:sz w:val="22"/>
          <w:szCs w:val="22"/>
        </w:rPr>
        <w:t>Moll did NOT contact Chris Robertson to verify the claimed agreement.</w:t>
      </w:r>
      <w:r>
        <w:rPr>
          <w:rFonts w:eastAsia="Arial" w:cs="Arial"/>
          <w:sz w:val="22"/>
          <w:szCs w:val="22"/>
        </w:rPr>
        <w:t xml:space="preserve"> MCA § 70-24-113(3) requires verbal authorization to be verified with the entitled party. This was never done.</w:t>
      </w:r>
    </w:p>
    <w:p>
      <w:pPr>
        <w:pStyle w:val="ListParagraph"/>
        <w:numPr>
          <w:ilvl w:val="0"/>
          <w:numId w:val="1"/>
        </w:numPr>
        <w:spacing w:before="0" w:after="100"/>
        <w:rPr/>
      </w:pPr>
      <w:r>
        <w:rPr>
          <w:rFonts w:eastAsia="Arial" w:cs="Arial"/>
          <w:sz w:val="22"/>
          <w:szCs w:val="22"/>
        </w:rPr>
        <w:t>Moll accepted the occupant’s unverified claim and concluded there was an oral agreement.</w:t>
      </w:r>
    </w:p>
    <w:p>
      <w:pPr>
        <w:pStyle w:val="ListParagraph"/>
        <w:numPr>
          <w:ilvl w:val="0"/>
          <w:numId w:val="1"/>
        </w:numPr>
        <w:spacing w:before="0" w:after="100"/>
        <w:rPr/>
      </w:pPr>
      <w:r>
        <w:rPr>
          <w:rFonts w:eastAsia="Arial" w:cs="Arial"/>
          <w:sz w:val="22"/>
          <w:szCs w:val="22"/>
        </w:rPr>
        <w:t>Moll told Julie Robertson she had to go through the civil eviction process to regain her own property.</w:t>
      </w:r>
    </w:p>
    <w:p>
      <w:pPr>
        <w:pStyle w:val="ListParagraph"/>
        <w:numPr>
          <w:ilvl w:val="0"/>
          <w:numId w:val="1"/>
        </w:numPr>
        <w:spacing w:before="0" w:after="200"/>
        <w:rPr/>
      </w:pPr>
      <w:r>
        <w:rPr>
          <w:rFonts w:eastAsia="Arial" w:cs="Arial"/>
          <w:b/>
          <w:bCs/>
          <w:sz w:val="22"/>
          <w:szCs w:val="22"/>
        </w:rPr>
        <w:t>Moll effectively trespassed Julie Robertson — a disabled property owner — from her own home.</w:t>
      </w:r>
    </w:p>
    <w:p>
      <w:pPr>
        <w:pStyle w:val="Heading2"/>
        <w:rPr/>
      </w:pPr>
      <w:r>
        <w:rPr>
          <w:rFonts w:eastAsia="Arial" w:cs="Arial" w:ascii="Arial" w:hAnsi="Arial"/>
        </w:rPr>
        <w:t>Corporal Blanton — December 9, 2025</w:t>
      </w:r>
    </w:p>
    <w:p>
      <w:pPr>
        <w:pStyle w:val="ListParagraph"/>
        <w:numPr>
          <w:ilvl w:val="0"/>
          <w:numId w:val="7"/>
        </w:numPr>
        <w:spacing w:before="0" w:after="100"/>
        <w:rPr/>
      </w:pPr>
      <w:r>
        <w:rPr>
          <w:rFonts w:eastAsia="Arial" w:cs="Arial"/>
          <w:sz w:val="22"/>
          <w:szCs w:val="22"/>
        </w:rPr>
        <w:t>Lexi Robertson (Alexis Palmer) arrived at the property to reinstall her wood heater in her mobile home trailer (VIN: GDMASD3977-2446) so she could live in it. Lexi is the titled owner of the trailer.</w:t>
      </w:r>
    </w:p>
    <w:p>
      <w:pPr>
        <w:pStyle w:val="ListParagraph"/>
        <w:numPr>
          <w:ilvl w:val="0"/>
          <w:numId w:val="2"/>
        </w:numPr>
        <w:spacing w:before="0" w:after="100"/>
        <w:rPr/>
      </w:pPr>
      <w:r>
        <w:rPr>
          <w:rFonts w:eastAsia="Arial" w:cs="Arial"/>
          <w:sz w:val="22"/>
          <w:szCs w:val="22"/>
        </w:rPr>
        <w:t xml:space="preserve">Lexi was locked out of her own trailer by the unauthorized occupants. She and family entered the main house to stay warm </w:t>
      </w:r>
      <w:r>
        <w:rPr>
          <w:rFonts w:eastAsia="Arial" w:cs="Arial"/>
          <w:sz w:val="22"/>
          <w:szCs w:val="22"/>
        </w:rPr>
        <w:t>and look for her wood heater.</w:t>
      </w:r>
    </w:p>
    <w:p>
      <w:pPr>
        <w:pStyle w:val="ListParagraph"/>
        <w:numPr>
          <w:ilvl w:val="0"/>
          <w:numId w:val="2"/>
        </w:numPr>
        <w:spacing w:before="0" w:after="100"/>
        <w:rPr/>
      </w:pPr>
      <w:r>
        <w:rPr>
          <w:rFonts w:eastAsia="Arial" w:cs="Arial"/>
          <w:sz w:val="22"/>
          <w:szCs w:val="22"/>
        </w:rPr>
        <w:t>Blanton responded to the scene. He determined the situation was a “misunderstanding” regarding tenancy rights.</w:t>
      </w:r>
    </w:p>
    <w:p>
      <w:pPr>
        <w:pStyle w:val="ListParagraph"/>
        <w:numPr>
          <w:ilvl w:val="0"/>
          <w:numId w:val="2"/>
        </w:numPr>
        <w:spacing w:before="0" w:after="100"/>
        <w:rPr/>
      </w:pPr>
      <w:r>
        <w:rPr>
          <w:rFonts w:eastAsia="Arial" w:cs="Arial"/>
          <w:b/>
          <w:bCs/>
          <w:sz w:val="22"/>
          <w:szCs w:val="22"/>
        </w:rPr>
        <w:t>Blanton did NOT verify Lexi’s ownership of the trailer.</w:t>
      </w:r>
    </w:p>
    <w:p>
      <w:pPr>
        <w:pStyle w:val="ListParagraph"/>
        <w:numPr>
          <w:ilvl w:val="0"/>
          <w:numId w:val="2"/>
        </w:numPr>
        <w:spacing w:before="0" w:after="100"/>
        <w:rPr/>
      </w:pPr>
      <w:r>
        <w:rPr>
          <w:rFonts w:eastAsia="Arial" w:cs="Arial"/>
          <w:b/>
          <w:bCs/>
          <w:sz w:val="22"/>
          <w:szCs w:val="22"/>
        </w:rPr>
        <w:t>Blanton ordered Lexi and her family to leave the premises immediately.</w:t>
      </w:r>
      <w:r>
        <w:rPr>
          <w:rFonts w:eastAsia="Arial" w:cs="Arial"/>
          <w:sz w:val="22"/>
          <w:szCs w:val="22"/>
        </w:rPr>
        <w:t xml:space="preserve"> Lexi was trespassed from her own titled property.</w:t>
      </w:r>
    </w:p>
    <w:p>
      <w:pPr>
        <w:pStyle w:val="ListParagraph"/>
        <w:numPr>
          <w:ilvl w:val="0"/>
          <w:numId w:val="2"/>
        </w:numPr>
        <w:spacing w:before="0" w:after="100"/>
        <w:rPr/>
      </w:pPr>
      <w:r>
        <w:rPr>
          <w:rFonts w:eastAsia="Arial" w:cs="Arial"/>
          <w:sz w:val="22"/>
          <w:szCs w:val="22"/>
        </w:rPr>
        <w:t>Lexi was prevented from installing her heating equipment or occupying her trailer.</w:t>
      </w:r>
    </w:p>
    <w:p>
      <w:pPr>
        <w:pStyle w:val="Heading2"/>
        <w:rPr/>
      </w:pPr>
      <w:r>
        <w:rPr>
          <w:rFonts w:eastAsia="Arial" w:cs="Arial" w:ascii="Arial" w:hAnsi="Arial"/>
        </w:rPr>
        <w:t>Corporal Blanton — February 20, 2026 (approx. 4:00 PM)</w:t>
      </w:r>
    </w:p>
    <w:p>
      <w:pPr>
        <w:pStyle w:val="ListParagraph"/>
        <w:numPr>
          <w:ilvl w:val="0"/>
          <w:numId w:val="8"/>
        </w:numPr>
        <w:spacing w:before="0" w:after="100"/>
        <w:rPr/>
      </w:pPr>
      <w:r>
        <w:rPr>
          <w:rFonts w:eastAsia="Arial" w:cs="Arial"/>
          <w:sz w:val="22"/>
          <w:szCs w:val="22"/>
        </w:rPr>
        <w:t xml:space="preserve">Lexi Robertson’s authorized agent </w:t>
      </w:r>
      <w:r>
        <w:rPr>
          <w:rFonts w:eastAsia="Arial" w:cs="Arial"/>
          <w:sz w:val="22"/>
          <w:szCs w:val="22"/>
        </w:rPr>
        <w:t>(Karen Runyan)</w:t>
      </w:r>
      <w:r>
        <w:rPr>
          <w:rFonts w:eastAsia="Arial" w:cs="Arial"/>
          <w:sz w:val="22"/>
          <w:szCs w:val="22"/>
        </w:rPr>
        <w:t xml:space="preserve"> arrived at the property to inspect and secure Lexi’s trailer. </w:t>
      </w:r>
    </w:p>
    <w:p>
      <w:pPr>
        <w:pStyle w:val="ListParagraph"/>
        <w:numPr>
          <w:ilvl w:val="0"/>
          <w:numId w:val="3"/>
        </w:numPr>
        <w:spacing w:before="0" w:after="100"/>
        <w:rPr/>
      </w:pPr>
      <w:r>
        <w:rPr>
          <w:rFonts w:eastAsia="Arial" w:cs="Arial"/>
          <w:b/>
          <w:bCs/>
          <w:sz w:val="22"/>
          <w:szCs w:val="22"/>
        </w:rPr>
        <w:t>Blanton told Lexi’s agent they had no right to go and look at her trailer.</w:t>
      </w:r>
      <w:r>
        <w:rPr>
          <w:rFonts w:eastAsia="Arial" w:cs="Arial"/>
          <w:sz w:val="22"/>
          <w:szCs w:val="22"/>
        </w:rPr>
        <w:t xml:space="preserve"> This was false. Lexi owns the trailer.</w:t>
      </w:r>
    </w:p>
    <w:p>
      <w:pPr>
        <w:pStyle w:val="ListParagraph"/>
        <w:numPr>
          <w:ilvl w:val="0"/>
          <w:numId w:val="3"/>
        </w:numPr>
        <w:spacing w:before="0" w:after="100"/>
        <w:rPr/>
      </w:pPr>
      <w:r>
        <w:rPr>
          <w:rFonts w:eastAsia="Arial" w:cs="Arial"/>
          <w:b/>
          <w:bCs/>
          <w:sz w:val="22"/>
          <w:szCs w:val="22"/>
        </w:rPr>
        <w:t>Blanton told Karen Runyan that she could not secure Lexi’s house/trailer and that he (Blanton) had to do it.</w:t>
      </w:r>
      <w:r>
        <w:rPr>
          <w:rFonts w:eastAsia="Arial" w:cs="Arial"/>
          <w:sz w:val="22"/>
          <w:szCs w:val="22"/>
        </w:rPr>
        <w:t xml:space="preserve"> This violated the property owners’ rights and assumed the duty onto himself.</w:t>
      </w:r>
    </w:p>
    <w:p>
      <w:pPr>
        <w:pStyle w:val="ListParagraph"/>
        <w:numPr>
          <w:ilvl w:val="0"/>
          <w:numId w:val="3"/>
        </w:numPr>
        <w:spacing w:before="0" w:after="100"/>
        <w:rPr/>
      </w:pPr>
      <w:r>
        <w:rPr>
          <w:rFonts w:eastAsia="Arial" w:cs="Arial"/>
          <w:b/>
          <w:bCs/>
          <w:sz w:val="22"/>
          <w:szCs w:val="22"/>
        </w:rPr>
        <w:t xml:space="preserve">Blanton failed to properly secure the property — left the back door accessible to the occupiers </w:t>
      </w:r>
      <w:r>
        <w:rPr>
          <w:rFonts w:eastAsia="Arial" w:cs="Arial"/>
          <w:b/>
          <w:bCs/>
          <w:sz w:val="22"/>
          <w:szCs w:val="22"/>
        </w:rPr>
        <w:t>and continued Lexi’s risk</w:t>
      </w:r>
      <w:r>
        <w:rPr>
          <w:rFonts w:eastAsia="Arial" w:cs="Arial"/>
          <w:b/>
          <w:bCs/>
          <w:sz w:val="22"/>
          <w:szCs w:val="22"/>
        </w:rPr>
        <w:t>.</w:t>
      </w:r>
    </w:p>
    <w:p>
      <w:pPr>
        <w:pStyle w:val="ListParagraph"/>
        <w:numPr>
          <w:ilvl w:val="0"/>
          <w:numId w:val="3"/>
        </w:numPr>
        <w:spacing w:before="0" w:after="200"/>
        <w:rPr/>
      </w:pPr>
      <w:r>
        <w:rPr>
          <w:rFonts w:eastAsia="Arial" w:cs="Arial"/>
          <w:b/>
          <w:bCs/>
          <w:sz w:val="22"/>
          <w:szCs w:val="22"/>
        </w:rPr>
        <w:t xml:space="preserve">Blanton failed to complete the safety walkthrough of Lexi’s trailer, </w:t>
      </w:r>
      <w:r>
        <w:rPr>
          <w:rFonts w:eastAsia="Arial" w:cs="Arial"/>
          <w:b/>
          <w:bCs/>
          <w:sz w:val="22"/>
          <w:szCs w:val="22"/>
        </w:rPr>
        <w:t xml:space="preserve">he said </w:t>
      </w:r>
      <w:r>
        <w:rPr>
          <w:rFonts w:eastAsia="Arial" w:cs="Arial"/>
          <w:b/>
          <w:bCs/>
          <w:sz w:val="22"/>
          <w:szCs w:val="22"/>
        </w:rPr>
        <w:t>h</w:t>
      </w:r>
      <w:r>
        <w:rPr>
          <w:rFonts w:eastAsia="Arial" w:cs="Arial"/>
          <w:b/>
          <w:bCs/>
          <w:sz w:val="22"/>
          <w:szCs w:val="22"/>
        </w:rPr>
        <w:t>e would do</w:t>
      </w:r>
      <w:r>
        <w:rPr>
          <w:rFonts w:eastAsia="Arial" w:cs="Arial"/>
          <w:b/>
          <w:bCs/>
          <w:sz w:val="22"/>
          <w:szCs w:val="22"/>
        </w:rPr>
        <w:t>.</w:t>
      </w:r>
    </w:p>
    <w:p>
      <w:pPr>
        <w:pStyle w:val="ListParagraph"/>
        <w:numPr>
          <w:ilvl w:val="0"/>
          <w:numId w:val="3"/>
        </w:numPr>
        <w:spacing w:before="0" w:after="200"/>
        <w:rPr/>
      </w:pPr>
      <w:r>
        <w:rPr/>
        <w:t>Lexi obtain</w:t>
      </w:r>
      <w:r>
        <w:rPr/>
        <w:t>ed</w:t>
      </w:r>
      <w:r>
        <w:rPr/>
        <w:t xml:space="preserve"> a motion from a judge to access her own titled property because law enforcement would not verify her ownership. </w:t>
      </w:r>
      <w:r>
        <w:rPr/>
        <w:t>Once granted, Officer Blanton spent an hour verifying these facts.</w:t>
      </w:r>
    </w:p>
    <w:p>
      <w:pPr>
        <w:pStyle w:val="Heading1"/>
        <w:rPr/>
      </w:pPr>
      <w:r>
        <w:rPr>
          <w:rFonts w:eastAsia="Arial" w:cs="Arial" w:ascii="Arial" w:hAnsi="Arial"/>
        </w:rPr>
        <w:t>3. THE CORE ARGUMENT</w:t>
      </w:r>
    </w:p>
    <w:p>
      <w:pPr>
        <w:pStyle w:val="Normal"/>
        <w:spacing w:before="0" w:after="160"/>
        <w:rPr/>
      </w:pPr>
      <w:r>
        <w:rPr>
          <w:rFonts w:eastAsia="Arial" w:cs="Arial"/>
          <w:b w:val="false"/>
          <w:bCs w:val="false"/>
          <w:sz w:val="22"/>
          <w:szCs w:val="22"/>
        </w:rPr>
        <w:t xml:space="preserve">If Blanton and Moll cannot even bother to verify something as obvious as who owns a titled piece of property, </w:t>
      </w:r>
      <w:r>
        <w:rPr>
          <w:rFonts w:eastAsia="Arial" w:cs="Arial"/>
          <w:b w:val="false"/>
          <w:bCs w:val="false"/>
          <w:sz w:val="22"/>
          <w:szCs w:val="22"/>
        </w:rPr>
        <w:t xml:space="preserve">their judgment on any of the evidence is in question </w:t>
      </w:r>
      <w:r>
        <w:rPr>
          <w:rFonts w:eastAsia="Arial" w:cs="Arial"/>
          <w:b w:val="false"/>
          <w:bCs w:val="false"/>
          <w:sz w:val="22"/>
          <w:szCs w:val="22"/>
        </w:rPr>
        <w:t>and because of this and their actions, they DIRECTLY harmed Lexi Robertson, Julie Robertson and Bryan Runyan.</w:t>
      </w:r>
    </w:p>
    <w:p>
      <w:pPr>
        <w:pStyle w:val="Normal"/>
        <w:spacing w:before="0" w:after="160"/>
        <w:rPr/>
      </w:pPr>
      <w:r>
        <w:rPr>
          <w:rFonts w:eastAsia="Arial" w:cs="Arial"/>
          <w:sz w:val="22"/>
          <w:szCs w:val="22"/>
        </w:rPr>
        <w:t>Neither officer performed the basic verification required by MCA § 70-24-113 (SB101) on any date at issue. The statute specifically requires that verbal authorization be verified with the property owner. Neither officer contacted Chris Robertson or verified Lexi Robertson’s title. Their unverified determinations decided the rights of multiple property owners.</w:t>
      </w:r>
    </w:p>
    <w:p>
      <w:pPr>
        <w:pStyle w:val="Normal"/>
        <w:spacing w:before="0" w:after="160"/>
        <w:rPr/>
      </w:pPr>
      <w:r>
        <w:rPr>
          <w:rFonts w:eastAsia="Arial" w:cs="Arial"/>
          <w:b/>
          <w:bCs/>
          <w:sz w:val="22"/>
          <w:szCs w:val="22"/>
        </w:rPr>
        <w:t>They forced Julie into a civil lawsuit.</w:t>
      </w:r>
      <w:r>
        <w:rPr>
          <w:rFonts w:eastAsia="Arial" w:cs="Arial"/>
          <w:b w:val="false"/>
          <w:bCs w:val="false"/>
          <w:sz w:val="22"/>
          <w:szCs w:val="22"/>
        </w:rPr>
        <w:t xml:space="preserve"> The entire purpose of SB101 was to prevent property owners from having to go through months of civil litigation against unauthorized occupants. The officers’ failure to use the tools the legislature gave them is the direct cause of Julie being forced into Justice Court, where she represented herself pro se, could not speak during proceedings, and lost via default judgment.</w:t>
      </w:r>
    </w:p>
    <w:p>
      <w:pPr>
        <w:pStyle w:val="Normal"/>
        <w:spacing w:before="0" w:after="160"/>
        <w:rPr/>
      </w:pPr>
      <w:r>
        <w:rPr>
          <w:b/>
          <w:bCs/>
        </w:rPr>
        <w:t>The</w:t>
      </w:r>
      <w:r>
        <w:rPr>
          <w:b/>
          <w:bCs/>
        </w:rPr>
        <w:t>y forced Lexi to get a judge involved for her basic rights</w:t>
      </w:r>
      <w:r>
        <w:rPr>
          <w:b/>
          <w:bCs/>
        </w:rPr>
        <w:t>.</w:t>
      </w:r>
      <w:r>
        <w:rPr/>
        <w:t xml:space="preserve"> T</w:t>
      </w:r>
      <w:r>
        <w:rPr/>
        <w:t xml:space="preserve">hey actively denied all attempts to prevent her property from being broken in, took on liability themselves when </w:t>
      </w:r>
      <w:r>
        <w:rPr/>
        <w:t>it came to the safety walkthrough and securing, and then never completed those tasks.</w:t>
      </w:r>
    </w:p>
    <w:p>
      <w:pPr>
        <w:pStyle w:val="Heading1"/>
        <w:rPr/>
      </w:pPr>
      <w:r>
        <w:rPr>
          <w:rFonts w:eastAsia="Arial" w:cs="Arial" w:ascii="Arial" w:hAnsi="Arial"/>
        </w:rPr>
        <w:t>4. HARM CAUSED BY OFFICER FAILURES</w:t>
      </w:r>
    </w:p>
    <w:p>
      <w:pPr>
        <w:pStyle w:val="ListParagraph"/>
        <w:numPr>
          <w:ilvl w:val="0"/>
          <w:numId w:val="9"/>
        </w:numPr>
        <w:spacing w:before="0" w:after="100"/>
        <w:rPr/>
      </w:pPr>
      <w:r>
        <w:rPr>
          <w:rFonts w:eastAsia="Arial" w:cs="Arial"/>
          <w:sz w:val="22"/>
          <w:szCs w:val="22"/>
        </w:rPr>
        <w:t xml:space="preserve">Julie Robertson (disabled) trespassed from her own home by Moll’s failure to verify </w:t>
      </w:r>
      <w:r>
        <w:rPr>
          <w:rFonts w:eastAsia="Arial" w:cs="Arial"/>
          <w:sz w:val="22"/>
          <w:szCs w:val="22"/>
        </w:rPr>
        <w:t xml:space="preserve">and Trespass of Julie Robertson </w:t>
      </w:r>
      <w:r>
        <w:rPr>
          <w:rFonts w:eastAsia="Arial" w:cs="Arial"/>
          <w:sz w:val="22"/>
          <w:szCs w:val="22"/>
        </w:rPr>
        <w:t>on Dec 2.</w:t>
      </w:r>
    </w:p>
    <w:p>
      <w:pPr>
        <w:pStyle w:val="ListParagraph"/>
        <w:numPr>
          <w:ilvl w:val="0"/>
          <w:numId w:val="4"/>
        </w:numPr>
        <w:spacing w:before="0" w:after="100"/>
        <w:rPr/>
      </w:pPr>
      <w:r>
        <w:rPr>
          <w:rFonts w:eastAsia="Arial" w:cs="Arial"/>
          <w:sz w:val="22"/>
          <w:szCs w:val="22"/>
        </w:rPr>
        <w:t>Julie forced into civil lawsuit (Robertson v. Ochoa, CV-495-2025-0000590-LT) she was not equipped to handle.</w:t>
      </w:r>
    </w:p>
    <w:p>
      <w:pPr>
        <w:pStyle w:val="ListParagraph"/>
        <w:numPr>
          <w:ilvl w:val="0"/>
          <w:numId w:val="4"/>
        </w:numPr>
        <w:spacing w:before="0" w:after="100"/>
        <w:rPr/>
      </w:pPr>
      <w:r>
        <w:rPr>
          <w:rFonts w:eastAsia="Arial" w:cs="Arial"/>
          <w:sz w:val="22"/>
          <w:szCs w:val="22"/>
        </w:rPr>
        <w:t xml:space="preserve">Default judgment  </w:t>
      </w:r>
      <w:r>
        <w:rPr>
          <w:rFonts w:eastAsia="Arial" w:cs="Arial"/>
          <w:sz w:val="22"/>
          <w:szCs w:val="22"/>
        </w:rPr>
        <w:t xml:space="preserve">in her favor </w:t>
      </w:r>
      <w:r>
        <w:rPr>
          <w:rFonts w:eastAsia="Arial" w:cs="Arial"/>
          <w:sz w:val="22"/>
          <w:szCs w:val="22"/>
        </w:rPr>
        <w:t xml:space="preserve">entered January 27, 2026 —  </w:t>
      </w:r>
      <w:r>
        <w:rPr>
          <w:rFonts w:eastAsia="Arial" w:cs="Arial"/>
          <w:sz w:val="22"/>
          <w:szCs w:val="22"/>
        </w:rPr>
        <w:t xml:space="preserve">but </w:t>
      </w:r>
      <w:r>
        <w:rPr>
          <w:rFonts w:eastAsia="Arial" w:cs="Arial"/>
          <w:sz w:val="22"/>
          <w:szCs w:val="22"/>
        </w:rPr>
        <w:t>occupants allowed to stay until September 2026.</w:t>
      </w:r>
    </w:p>
    <w:p>
      <w:pPr>
        <w:pStyle w:val="ListParagraph"/>
        <w:numPr>
          <w:ilvl w:val="0"/>
          <w:numId w:val="4"/>
        </w:numPr>
        <w:spacing w:before="0" w:after="100"/>
        <w:rPr/>
      </w:pPr>
      <w:r>
        <w:rPr>
          <w:rFonts w:eastAsia="Arial" w:cs="Arial"/>
          <w:sz w:val="22"/>
          <w:szCs w:val="22"/>
        </w:rPr>
        <w:t>Julie denied access to disability equipment, vehicles, and personal property.</w:t>
      </w:r>
    </w:p>
    <w:p>
      <w:pPr>
        <w:pStyle w:val="ListParagraph"/>
        <w:numPr>
          <w:ilvl w:val="0"/>
          <w:numId w:val="4"/>
        </w:numPr>
        <w:spacing w:before="0" w:after="100"/>
        <w:rPr/>
      </w:pPr>
      <w:r>
        <w:rPr>
          <w:rFonts w:eastAsia="Arial" w:cs="Arial"/>
          <w:sz w:val="22"/>
          <w:szCs w:val="22"/>
        </w:rPr>
        <w:t>Julie forced to flee to Tennessee in winter to find housing.</w:t>
      </w:r>
    </w:p>
    <w:p>
      <w:pPr>
        <w:pStyle w:val="ListParagraph"/>
        <w:numPr>
          <w:ilvl w:val="0"/>
          <w:numId w:val="4"/>
        </w:numPr>
        <w:spacing w:before="0" w:after="100"/>
        <w:rPr/>
      </w:pPr>
      <w:r>
        <w:rPr>
          <w:rFonts w:eastAsia="Arial" w:cs="Arial"/>
          <w:sz w:val="22"/>
          <w:szCs w:val="22"/>
        </w:rPr>
        <w:t>Lexi Robertson trespassed from her own titled trailer by Blanton on Dec 9.</w:t>
      </w:r>
    </w:p>
    <w:p>
      <w:pPr>
        <w:pStyle w:val="ListParagraph"/>
        <w:numPr>
          <w:ilvl w:val="0"/>
          <w:numId w:val="4"/>
        </w:numPr>
        <w:spacing w:before="0" w:after="100"/>
        <w:rPr>
          <w:rFonts w:ascii="Arial" w:hAnsi="Arial" w:eastAsia="Arial" w:cs="Arial"/>
          <w:sz w:val="22"/>
          <w:szCs w:val="22"/>
        </w:rPr>
      </w:pPr>
      <w:r>
        <w:rPr>
          <w:rFonts w:eastAsia="Arial" w:cs="Arial"/>
          <w:sz w:val="22"/>
          <w:szCs w:val="22"/>
        </w:rPr>
        <w:t>Lexi required a court motion just to access her own property.</w:t>
      </w:r>
    </w:p>
    <w:p>
      <w:pPr>
        <w:pStyle w:val="ListParagraph"/>
        <w:numPr>
          <w:ilvl w:val="0"/>
          <w:numId w:val="4"/>
        </w:numPr>
        <w:spacing w:before="0" w:after="100"/>
        <w:rPr>
          <w:rFonts w:ascii="Arial" w:hAnsi="Arial" w:eastAsia="Arial" w:cs="Arial"/>
          <w:sz w:val="22"/>
          <w:szCs w:val="22"/>
        </w:rPr>
      </w:pPr>
      <w:r>
        <w:rPr>
          <w:rFonts w:eastAsia="Arial" w:cs="Arial"/>
          <w:sz w:val="22"/>
          <w:szCs w:val="22"/>
        </w:rPr>
        <w:t>Lexi forced to flee her property.</w:t>
      </w:r>
    </w:p>
    <w:p>
      <w:pPr>
        <w:pStyle w:val="ListParagraph"/>
        <w:numPr>
          <w:ilvl w:val="0"/>
          <w:numId w:val="4"/>
        </w:numPr>
        <w:spacing w:before="0" w:after="100"/>
        <w:rPr/>
      </w:pPr>
      <w:r>
        <w:rPr>
          <w:rFonts w:eastAsia="Arial" w:cs="Arial"/>
          <w:sz w:val="22"/>
          <w:szCs w:val="22"/>
        </w:rPr>
        <w:t>Blanton’s failure to secure the back door on Feb 20 gave occupiers continued access.</w:t>
      </w:r>
    </w:p>
    <w:p>
      <w:pPr>
        <w:pStyle w:val="ListParagraph"/>
        <w:numPr>
          <w:ilvl w:val="0"/>
          <w:numId w:val="4"/>
        </w:numPr>
        <w:spacing w:before="0" w:after="100"/>
        <w:rPr/>
      </w:pPr>
      <w:r>
        <w:rPr>
          <w:rFonts w:eastAsia="Arial" w:cs="Arial"/>
          <w:sz w:val="22"/>
          <w:szCs w:val="22"/>
        </w:rPr>
        <w:t>Multiple family members denied access to titled vehicles and personal property.</w:t>
      </w:r>
    </w:p>
    <w:p>
      <w:pPr>
        <w:pStyle w:val="ListParagraph"/>
        <w:numPr>
          <w:ilvl w:val="0"/>
          <w:numId w:val="4"/>
        </w:numPr>
        <w:spacing w:before="0" w:after="100"/>
        <w:rPr/>
      </w:pPr>
      <w:r>
        <w:rPr>
          <w:rFonts w:eastAsia="Arial" w:cs="Arial"/>
          <w:sz w:val="22"/>
          <w:szCs w:val="22"/>
        </w:rPr>
        <w:t>Documented property damage exceeding $250,000 accumulated during ongoing unauthorized occupation.</w:t>
      </w:r>
    </w:p>
    <w:p>
      <w:pPr>
        <w:pStyle w:val="ListParagraph"/>
        <w:numPr>
          <w:ilvl w:val="0"/>
          <w:numId w:val="4"/>
        </w:numPr>
        <w:spacing w:before="0" w:after="100"/>
        <w:rPr/>
      </w:pPr>
      <w:r>
        <w:rPr>
          <w:rFonts w:eastAsia="Arial" w:cs="Arial"/>
          <w:sz w:val="22"/>
          <w:szCs w:val="22"/>
        </w:rPr>
        <w:t xml:space="preserve">Bryan and Karen Runyan lost $2,000 in personal property (tools, wedding dress, stained glass). </w:t>
      </w:r>
      <w:r>
        <w:rPr>
          <w:rFonts w:eastAsia="Arial" w:cs="Arial"/>
          <w:sz w:val="22"/>
          <w:szCs w:val="22"/>
        </w:rPr>
        <w:t>And $3000 in hotels, food, time off work, to support displaced family.</w:t>
      </w:r>
    </w:p>
    <w:p>
      <w:pPr>
        <w:pStyle w:val="Heading1"/>
        <w:rPr/>
      </w:pPr>
      <w:r>
        <w:rPr>
          <w:rFonts w:eastAsia="Arial" w:cs="Arial" w:ascii="Arial" w:hAnsi="Arial"/>
        </w:rPr>
        <w:t>5. KEY STATUTE: MCA § 70-24-113 (SB101)</w:t>
      </w:r>
    </w:p>
    <w:p>
      <w:pPr>
        <w:pStyle w:val="Normal"/>
        <w:spacing w:before="0" w:after="160"/>
        <w:rPr/>
      </w:pPr>
      <w:r>
        <w:rPr>
          <w:rFonts w:eastAsia="Arial" w:cs="Arial"/>
          <w:b/>
          <w:bCs/>
          <w:sz w:val="22"/>
          <w:szCs w:val="22"/>
        </w:rPr>
        <w:t xml:space="preserve">Section (3): </w:t>
      </w:r>
      <w:r>
        <w:rPr>
          <w:rFonts w:eastAsia="Arial" w:cs="Arial"/>
          <w:b w:val="false"/>
          <w:bCs w:val="false"/>
          <w:sz w:val="22"/>
          <w:szCs w:val="22"/>
        </w:rPr>
        <w:t>“For the purposes of this section, verbal authorization is valid only if it is verified by the individual or entity entitled to give it under subsection (2)(b) or (2)(c).”</w:t>
      </w:r>
    </w:p>
    <w:p>
      <w:pPr>
        <w:pStyle w:val="Normal"/>
        <w:spacing w:before="0" w:after="160"/>
        <w:rPr/>
      </w:pPr>
      <w:r>
        <w:rPr>
          <w:rFonts w:eastAsia="Arial" w:cs="Arial"/>
          <w:b/>
          <w:bCs/>
          <w:sz w:val="22"/>
          <w:szCs w:val="22"/>
        </w:rPr>
        <w:t xml:space="preserve">Removal Authority: </w:t>
      </w:r>
      <w:r>
        <w:rPr>
          <w:rFonts w:eastAsia="Arial" w:cs="Arial"/>
          <w:b w:val="false"/>
          <w:bCs w:val="false"/>
          <w:sz w:val="22"/>
          <w:szCs w:val="22"/>
        </w:rPr>
        <w:t>“A person who cannot produce authorization allowing the person to occupy a premises is an unauthorized person or trespasser for the purpose of this section and may be removed from the premises immediately by law enforcement.”</w:t>
      </w:r>
    </w:p>
    <w:p>
      <w:pPr>
        <w:pStyle w:val="Normal"/>
        <w:spacing w:before="0" w:after="160"/>
        <w:rPr/>
      </w:pPr>
      <w:r>
        <w:rPr>
          <w:rFonts w:eastAsia="Arial" w:cs="Arial"/>
          <w:sz w:val="22"/>
          <w:szCs w:val="22"/>
        </w:rPr>
        <w:t>Josh Ochoa could not produce written authorization. His claimed verbal authorization was never verified as the statute requires. Under SB101, he should have been removed on December 2, 2025.</w:t>
      </w:r>
    </w:p>
    <w:p>
      <w:pPr>
        <w:pStyle w:val="Heading1"/>
        <w:rPr/>
      </w:pPr>
      <w:r>
        <w:rPr>
          <w:rFonts w:eastAsia="Arial" w:cs="Arial" w:ascii="Arial" w:hAnsi="Arial"/>
        </w:rPr>
        <w:t xml:space="preserve">6. KEY DATES TIMELINE </w:t>
      </w:r>
      <w:r>
        <w:rPr>
          <w:rFonts w:eastAsia="Arial" w:cs="Arial" w:ascii="Arial" w:hAnsi="Arial"/>
        </w:rPr>
        <w:t>and CONTEXT</w:t>
      </w:r>
    </w:p>
    <w:tbl>
      <w:tblPr>
        <w:tblW w:w="9384" w:type="dxa"/>
        <w:jc w:val="start"/>
        <w:tblInd w:w="0" w:type="dxa"/>
        <w:tblLayout w:type="fixed"/>
        <w:tblCellMar>
          <w:top w:w="80" w:type="dxa"/>
          <w:start w:w="120" w:type="dxa"/>
          <w:bottom w:w="80" w:type="dxa"/>
          <w:end w:w="120" w:type="dxa"/>
        </w:tblCellMar>
      </w:tblPr>
      <w:tblGrid>
        <w:gridCol w:w="2199"/>
        <w:gridCol w:w="2201"/>
        <w:gridCol w:w="4984"/>
      </w:tblGrid>
      <w:tr>
        <w:trPr/>
        <w:tc>
          <w:tcPr>
            <w:tcW w:w="2199" w:type="dxa"/>
            <w:tcBorders>
              <w:top w:val="single" w:sz="2" w:space="0" w:color="CCCCCC"/>
              <w:start w:val="single" w:sz="2" w:space="0" w:color="CCCCCC"/>
              <w:bottom w:val="single" w:sz="2" w:space="0" w:color="CCCCCC"/>
              <w:end w:val="single" w:sz="2" w:space="0" w:color="CCCCCC"/>
            </w:tcBorders>
            <w:shd w:fill="2B4C7E" w:val="clear"/>
          </w:tcPr>
          <w:p>
            <w:pPr>
              <w:pStyle w:val="Normal"/>
              <w:rPr/>
            </w:pPr>
            <w:r>
              <w:rPr>
                <w:rFonts w:eastAsia="Arial" w:cs="Arial"/>
                <w:b/>
                <w:bCs/>
                <w:color w:val="FFFFFF"/>
                <w:sz w:val="20"/>
                <w:szCs w:val="20"/>
              </w:rPr>
              <w:t>Date</w:t>
            </w:r>
          </w:p>
        </w:tc>
        <w:tc>
          <w:tcPr>
            <w:tcW w:w="2201" w:type="dxa"/>
            <w:tcBorders>
              <w:top w:val="single" w:sz="2" w:space="0" w:color="CCCCCC"/>
              <w:start w:val="single" w:sz="2" w:space="0" w:color="CCCCCC"/>
              <w:bottom w:val="single" w:sz="2" w:space="0" w:color="CCCCCC"/>
              <w:end w:val="single" w:sz="2" w:space="0" w:color="CCCCCC"/>
            </w:tcBorders>
            <w:shd w:fill="2B4C7E" w:val="clear"/>
          </w:tcPr>
          <w:p>
            <w:pPr>
              <w:pStyle w:val="Normal"/>
              <w:rPr/>
            </w:pPr>
            <w:r>
              <w:rPr>
                <w:rFonts w:eastAsia="Arial" w:cs="Arial"/>
                <w:b/>
                <w:bCs/>
                <w:color w:val="FFFFFF"/>
                <w:sz w:val="20"/>
                <w:szCs w:val="20"/>
              </w:rPr>
              <w:t>Officer</w:t>
            </w:r>
          </w:p>
        </w:tc>
        <w:tc>
          <w:tcPr>
            <w:tcW w:w="4984" w:type="dxa"/>
            <w:tcBorders>
              <w:top w:val="single" w:sz="2" w:space="0" w:color="CCCCCC"/>
              <w:start w:val="single" w:sz="2" w:space="0" w:color="CCCCCC"/>
              <w:bottom w:val="single" w:sz="2" w:space="0" w:color="CCCCCC"/>
              <w:end w:val="single" w:sz="2" w:space="0" w:color="CCCCCC"/>
            </w:tcBorders>
            <w:shd w:fill="2B4C7E" w:val="clear"/>
          </w:tcPr>
          <w:p>
            <w:pPr>
              <w:pStyle w:val="Normal"/>
              <w:rPr/>
            </w:pPr>
            <w:r>
              <w:rPr>
                <w:rFonts w:eastAsia="Arial" w:cs="Arial"/>
                <w:b/>
                <w:bCs/>
                <w:color w:val="FFFFFF"/>
                <w:sz w:val="20"/>
                <w:szCs w:val="20"/>
              </w:rPr>
              <w:t>Event</w:t>
            </w:r>
          </w:p>
        </w:tc>
      </w:tr>
      <w:tr>
        <w:trPr/>
        <w:tc>
          <w:tcPr>
            <w:tcW w:w="21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July 27, 2025</w:t>
            </w:r>
          </w:p>
        </w:tc>
        <w:tc>
          <w:tcPr>
            <w:tcW w:w="22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N/A</w:t>
            </w:r>
          </w:p>
        </w:tc>
        <w:tc>
          <w:tcPr>
            <w:tcW w:w="4984"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Josh Ochoa given permission to inspect property only. Moved in without authorization (proven by electric usage spike).</w:t>
            </w:r>
          </w:p>
        </w:tc>
      </w:tr>
      <w:tr>
        <w:trPr/>
        <w:tc>
          <w:tcPr>
            <w:tcW w:w="21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September 23</w:t>
            </w:r>
            <w:r>
              <w:rPr>
                <w:rFonts w:eastAsia="Arial" w:cs="Arial"/>
                <w:sz w:val="20"/>
                <w:szCs w:val="20"/>
                <w:vertAlign w:val="superscript"/>
              </w:rPr>
              <w:t>rd</w:t>
            </w:r>
            <w:r>
              <w:rPr>
                <w:rFonts w:eastAsia="Arial" w:cs="Arial"/>
                <w:sz w:val="20"/>
                <w:szCs w:val="20"/>
              </w:rPr>
              <w:t xml:space="preserve"> -</w:t>
            </w:r>
            <w:r>
              <w:rPr>
                <w:rFonts w:eastAsia="Arial" w:cs="Arial"/>
                <w:sz w:val="20"/>
                <w:szCs w:val="20"/>
              </w:rPr>
              <w:t>Oct 10, 2025</w:t>
            </w:r>
          </w:p>
        </w:tc>
        <w:tc>
          <w:tcPr>
            <w:tcW w:w="22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N/A</w:t>
            </w:r>
          </w:p>
        </w:tc>
        <w:tc>
          <w:tcPr>
            <w:tcW w:w="4984"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 xml:space="preserve">Josh tried to create legitimacy post hoc by starting rent negotitions. </w:t>
            </w:r>
            <w:r>
              <w:rPr>
                <w:rFonts w:eastAsia="Arial" w:cs="Arial"/>
                <w:sz w:val="20"/>
                <w:szCs w:val="20"/>
              </w:rPr>
              <w:t>Julie and Chris decided not to rent. Permission formally revoked.</w:t>
            </w:r>
          </w:p>
        </w:tc>
      </w:tr>
      <w:tr>
        <w:trPr/>
        <w:tc>
          <w:tcPr>
            <w:tcW w:w="21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Dec 1, 2025</w:t>
            </w:r>
          </w:p>
        </w:tc>
        <w:tc>
          <w:tcPr>
            <w:tcW w:w="22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N/A</w:t>
            </w:r>
          </w:p>
        </w:tc>
        <w:tc>
          <w:tcPr>
            <w:tcW w:w="4984"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 xml:space="preserve">Squatting Discovered. </w:t>
            </w:r>
            <w:r>
              <w:rPr>
                <w:rFonts w:eastAsia="Arial" w:cs="Arial"/>
                <w:sz w:val="20"/>
                <w:szCs w:val="20"/>
              </w:rPr>
              <w:t>Chris told Josh to vacate by text message.</w:t>
            </w:r>
          </w:p>
        </w:tc>
      </w:tr>
      <w:tr>
        <w:trPr/>
        <w:tc>
          <w:tcPr>
            <w:tcW w:w="21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Dec 2, 2025</w:t>
            </w:r>
          </w:p>
        </w:tc>
        <w:tc>
          <w:tcPr>
            <w:tcW w:w="22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Cpl. Moll</w:t>
            </w:r>
          </w:p>
        </w:tc>
        <w:tc>
          <w:tcPr>
            <w:tcW w:w="4984"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Julie called police. Moll failed to verify claimed agreement with Chris. Trespassed Julie from her own property. Told her to pursue civil eviction.</w:t>
            </w:r>
          </w:p>
        </w:tc>
      </w:tr>
      <w:tr>
        <w:trPr/>
        <w:tc>
          <w:tcPr>
            <w:tcW w:w="21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Dec 4, 2025</w:t>
            </w:r>
          </w:p>
        </w:tc>
        <w:tc>
          <w:tcPr>
            <w:tcW w:w="22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N/A</w:t>
            </w:r>
          </w:p>
        </w:tc>
        <w:tc>
          <w:tcPr>
            <w:tcW w:w="4984"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Julie posted 3-day notice to quit and intent to enter notice.</w:t>
            </w:r>
          </w:p>
        </w:tc>
      </w:tr>
      <w:tr>
        <w:trPr/>
        <w:tc>
          <w:tcPr>
            <w:tcW w:w="21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Dec 6, 2025</w:t>
            </w:r>
          </w:p>
        </w:tc>
        <w:tc>
          <w:tcPr>
            <w:tcW w:w="22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N/A</w:t>
            </w:r>
          </w:p>
        </w:tc>
        <w:tc>
          <w:tcPr>
            <w:tcW w:w="4984"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Julie’s walkthrough revealed ~$250K in damage, belongings destroyed/removed.</w:t>
            </w:r>
          </w:p>
        </w:tc>
      </w:tr>
      <w:tr>
        <w:trPr/>
        <w:tc>
          <w:tcPr>
            <w:tcW w:w="21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Dec 9, 2025</w:t>
            </w:r>
          </w:p>
        </w:tc>
        <w:tc>
          <w:tcPr>
            <w:tcW w:w="22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Cpl. Blanton</w:t>
            </w:r>
          </w:p>
        </w:tc>
        <w:tc>
          <w:tcPr>
            <w:tcW w:w="4984"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Lexi arrived to access her trailer. Blanton trespassed her without verifying ownership. Ordered family to leave.</w:t>
            </w:r>
          </w:p>
        </w:tc>
      </w:tr>
      <w:tr>
        <w:trPr/>
        <w:tc>
          <w:tcPr>
            <w:tcW w:w="21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Jan 27, 2026</w:t>
            </w:r>
          </w:p>
        </w:tc>
        <w:tc>
          <w:tcPr>
            <w:tcW w:w="22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N/A</w:t>
            </w:r>
          </w:p>
        </w:tc>
        <w:tc>
          <w:tcPr>
            <w:tcW w:w="4984"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 xml:space="preserve">Default judgment entered </w:t>
            </w:r>
            <w:r>
              <w:rPr>
                <w:rFonts w:eastAsia="Arial" w:cs="Arial"/>
                <w:sz w:val="20"/>
                <w:szCs w:val="20"/>
              </w:rPr>
              <w:t>in Julie’s Favor.</w:t>
            </w:r>
            <w:r>
              <w:rPr>
                <w:rFonts w:eastAsia="Arial" w:cs="Arial"/>
                <w:sz w:val="20"/>
                <w:szCs w:val="20"/>
              </w:rPr>
              <w:t xml:space="preserve"> Occupants stay until Sept 2026.</w:t>
            </w:r>
          </w:p>
        </w:tc>
      </w:tr>
      <w:tr>
        <w:trPr/>
        <w:tc>
          <w:tcPr>
            <w:tcW w:w="21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Jan 28-31, 2026</w:t>
            </w:r>
          </w:p>
        </w:tc>
        <w:tc>
          <w:tcPr>
            <w:tcW w:w="22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N/A</w:t>
            </w:r>
          </w:p>
        </w:tc>
        <w:tc>
          <w:tcPr>
            <w:tcW w:w="4984"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Bryan Runyan emails to county officials and Undersheriff Woods raising SB101 failures. Criminal complaint filed.</w:t>
            </w:r>
          </w:p>
        </w:tc>
      </w:tr>
      <w:tr>
        <w:trPr>
          <w:trHeight w:val="2014" w:hRule="atLeast"/>
        </w:trPr>
        <w:tc>
          <w:tcPr>
            <w:tcW w:w="21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Feb 20, 2026</w:t>
            </w:r>
          </w:p>
        </w:tc>
        <w:tc>
          <w:tcPr>
            <w:tcW w:w="22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Cpl. Blanton</w:t>
            </w:r>
          </w:p>
        </w:tc>
        <w:tc>
          <w:tcPr>
            <w:tcW w:w="4984" w:type="dxa"/>
            <w:tcBorders>
              <w:top w:val="single" w:sz="2" w:space="0" w:color="CCCCCC"/>
              <w:start w:val="single" w:sz="2" w:space="0" w:color="CCCCCC"/>
              <w:bottom w:val="single" w:sz="2" w:space="0" w:color="CCCCCC"/>
              <w:end w:val="single" w:sz="2" w:space="0" w:color="CCCCCC"/>
            </w:tcBorders>
          </w:tcPr>
          <w:p>
            <w:pPr>
              <w:pStyle w:val="Normal"/>
              <w:rPr>
                <w:rFonts w:ascii="Arial" w:hAnsi="Arial" w:eastAsia="Arial" w:cs="Arial"/>
                <w:sz w:val="20"/>
                <w:szCs w:val="20"/>
              </w:rPr>
            </w:pPr>
            <w:r>
              <w:rPr>
                <w:rFonts w:eastAsia="Arial" w:cs="Arial"/>
                <w:sz w:val="20"/>
                <w:szCs w:val="20"/>
              </w:rPr>
              <w:t>Told Lexi’s agent no right to inspect trailer. Told Karen she couldn’t secure it. Failed to secure it himself (back door left open). Failed to complete walkthrough.</w:t>
            </w:r>
          </w:p>
        </w:tc>
      </w:tr>
      <w:tr>
        <w:trPr>
          <w:trHeight w:val="2014" w:hRule="atLeast"/>
        </w:trPr>
        <w:tc>
          <w:tcPr>
            <w:tcW w:w="2199" w:type="dxa"/>
            <w:tcBorders>
              <w:start w:val="single" w:sz="2" w:space="0" w:color="CCCCCC"/>
              <w:bottom w:val="single" w:sz="2" w:space="0" w:color="CCCCCC"/>
              <w:end w:val="single" w:sz="2" w:space="0" w:color="CCCCCC"/>
            </w:tcBorders>
          </w:tcPr>
          <w:p>
            <w:pPr>
              <w:pStyle w:val="Normal"/>
              <w:rPr/>
            </w:pPr>
            <w:r>
              <w:rPr/>
              <w:t>Feb 25,2026</w:t>
            </w:r>
          </w:p>
        </w:tc>
        <w:tc>
          <w:tcPr>
            <w:tcW w:w="2201" w:type="dxa"/>
            <w:tcBorders>
              <w:start w:val="single" w:sz="2" w:space="0" w:color="CCCCCC"/>
              <w:bottom w:val="single" w:sz="2" w:space="0" w:color="CCCCCC"/>
              <w:end w:val="single" w:sz="2" w:space="0" w:color="CCCCCC"/>
            </w:tcBorders>
          </w:tcPr>
          <w:p>
            <w:pPr>
              <w:pStyle w:val="Normal"/>
              <w:rPr/>
            </w:pPr>
            <w:r>
              <w:rPr/>
              <w:t>N/A</w:t>
            </w:r>
          </w:p>
        </w:tc>
        <w:tc>
          <w:tcPr>
            <w:tcW w:w="4984" w:type="dxa"/>
            <w:tcBorders>
              <w:start w:val="single" w:sz="2" w:space="0" w:color="CCCCCC"/>
              <w:bottom w:val="single" w:sz="2" w:space="0" w:color="CCCCCC"/>
              <w:end w:val="single" w:sz="2" w:space="0" w:color="CCCCCC"/>
            </w:tcBorders>
          </w:tcPr>
          <w:p>
            <w:pPr>
              <w:pStyle w:val="Normal"/>
              <w:rPr>
                <w:rFonts w:ascii="Arial" w:hAnsi="Arial" w:eastAsia="Arial" w:cs="Arial"/>
                <w:sz w:val="20"/>
                <w:szCs w:val="20"/>
              </w:rPr>
            </w:pPr>
            <w:r>
              <w:rPr>
                <w:rFonts w:eastAsia="Arial" w:cs="Arial"/>
                <w:sz w:val="20"/>
                <w:szCs w:val="20"/>
              </w:rPr>
              <w:t>Lexi Robertson filed motion to stop Officer Blanton’s interference in recovering her own property.</w:t>
            </w:r>
          </w:p>
        </w:tc>
      </w:tr>
    </w:tbl>
    <w:p>
      <w:pPr>
        <w:pStyle w:val="Normal"/>
        <w:spacing w:before="100" w:after="0"/>
        <w:rPr/>
      </w:pPr>
      <w:r>
        <w:rPr/>
      </w:r>
    </w:p>
    <w:p>
      <w:pPr>
        <w:pStyle w:val="Heading1"/>
        <w:rPr>
          <w:rFonts w:ascii="Arial" w:hAnsi="Arial" w:eastAsia="Arial" w:cs="Arial"/>
          <w:b w:val="false"/>
          <w:bCs w:val="false"/>
          <w:sz w:val="22"/>
          <w:szCs w:val="22"/>
        </w:rPr>
      </w:pPr>
      <w:r>
        <w:rPr/>
      </w:r>
    </w:p>
    <w:p>
      <w:pPr>
        <w:pStyle w:val="Heading1"/>
        <w:rPr>
          <w:rFonts w:ascii="Arial" w:hAnsi="Arial" w:eastAsia="Arial" w:cs="Arial"/>
          <w:sz w:val="22"/>
          <w:szCs w:val="22"/>
        </w:rPr>
      </w:pPr>
      <w:r>
        <w:rPr/>
      </w:r>
    </w:p>
    <w:p>
      <w:pPr>
        <w:pStyle w:val="Heading1"/>
        <w:rPr/>
      </w:pPr>
      <w:r>
        <w:rPr>
          <w:rFonts w:eastAsia="Arial" w:cs="Arial" w:ascii="Arial" w:hAnsi="Arial"/>
        </w:rPr>
        <w:t>7</w:t>
      </w:r>
      <w:r>
        <w:rPr>
          <w:rFonts w:eastAsia="Arial" w:cs="Arial" w:ascii="Arial" w:hAnsi="Arial"/>
        </w:rPr>
        <w:t>. KEY PEOPLE</w:t>
      </w:r>
    </w:p>
    <w:p>
      <w:pPr>
        <w:pStyle w:val="Heading2"/>
        <w:rPr/>
      </w:pPr>
      <w:r>
        <w:rPr>
          <w:rFonts w:eastAsia="Arial" w:cs="Arial" w:ascii="Arial" w:hAnsi="Arial"/>
        </w:rPr>
        <w:t>Complainants / Victims:</w:t>
      </w:r>
    </w:p>
    <w:p>
      <w:pPr>
        <w:pStyle w:val="ListParagraph"/>
        <w:numPr>
          <w:ilvl w:val="0"/>
          <w:numId w:val="4"/>
        </w:numPr>
        <w:spacing w:before="0" w:after="100"/>
        <w:rPr/>
      </w:pPr>
      <w:r>
        <w:rPr>
          <w:rFonts w:eastAsia="Arial" w:cs="Arial"/>
          <w:sz w:val="22"/>
          <w:szCs w:val="22"/>
        </w:rPr>
        <w:t xml:space="preserve">Bryan Runyan — Authorized representative, filed criminal complaint, </w:t>
      </w:r>
      <w:r>
        <w:rPr>
          <w:rFonts w:eastAsia="Arial" w:cs="Arial"/>
          <w:sz w:val="22"/>
          <w:szCs w:val="22"/>
        </w:rPr>
        <w:t>been talking to the police and undersheriff</w:t>
      </w:r>
    </w:p>
    <w:p>
      <w:pPr>
        <w:pStyle w:val="ListParagraph"/>
        <w:numPr>
          <w:ilvl w:val="0"/>
          <w:numId w:val="4"/>
        </w:numPr>
        <w:spacing w:before="0" w:after="100"/>
        <w:rPr/>
      </w:pPr>
      <w:r>
        <w:rPr>
          <w:rFonts w:eastAsia="Arial" w:cs="Arial"/>
          <w:sz w:val="22"/>
          <w:szCs w:val="22"/>
        </w:rPr>
        <w:t>Karen Runyan — Bryan’s wife, present Feb 20 when Blanton made false statements</w:t>
      </w:r>
    </w:p>
    <w:p>
      <w:pPr>
        <w:pStyle w:val="ListParagraph"/>
        <w:numPr>
          <w:ilvl w:val="0"/>
          <w:numId w:val="4"/>
        </w:numPr>
        <w:spacing w:before="0" w:after="100"/>
        <w:rPr/>
      </w:pPr>
      <w:r>
        <w:rPr>
          <w:rFonts w:eastAsia="Arial" w:cs="Arial"/>
          <w:sz w:val="22"/>
          <w:szCs w:val="22"/>
        </w:rPr>
        <w:t>Julie Robertson — Disabled property owner, trespassed from own home Dec 2</w:t>
      </w:r>
    </w:p>
    <w:p>
      <w:pPr>
        <w:pStyle w:val="ListParagraph"/>
        <w:numPr>
          <w:ilvl w:val="0"/>
          <w:numId w:val="4"/>
        </w:numPr>
        <w:spacing w:before="0" w:after="100"/>
        <w:rPr/>
      </w:pPr>
      <w:r>
        <w:rPr>
          <w:rFonts w:eastAsia="Arial" w:cs="Arial"/>
          <w:sz w:val="22"/>
          <w:szCs w:val="22"/>
        </w:rPr>
        <w:t>Chris Robertson — Property owner, Julie’s husband, gave limited inspection permission</w:t>
      </w:r>
    </w:p>
    <w:p>
      <w:pPr>
        <w:pStyle w:val="ListParagraph"/>
        <w:numPr>
          <w:ilvl w:val="0"/>
          <w:numId w:val="4"/>
        </w:numPr>
        <w:spacing w:before="0" w:after="100"/>
        <w:rPr/>
      </w:pPr>
      <w:r>
        <w:rPr>
          <w:rFonts w:eastAsia="Arial" w:cs="Arial"/>
          <w:sz w:val="22"/>
          <w:szCs w:val="22"/>
        </w:rPr>
        <w:t>Lexi Robertson (Alexis Palmer) — Titled owner of trailer, trespassed Dec 9</w:t>
      </w:r>
    </w:p>
    <w:p>
      <w:pPr>
        <w:pStyle w:val="Heading2"/>
        <w:rPr/>
      </w:pPr>
      <w:r>
        <w:rPr>
          <w:rFonts w:eastAsia="Arial" w:cs="Arial" w:ascii="Arial" w:hAnsi="Arial"/>
        </w:rPr>
        <w:t>Officers:</w:t>
      </w:r>
    </w:p>
    <w:p>
      <w:pPr>
        <w:pStyle w:val="ListParagraph"/>
        <w:numPr>
          <w:ilvl w:val="0"/>
          <w:numId w:val="4"/>
        </w:numPr>
        <w:spacing w:before="0" w:after="100"/>
        <w:rPr/>
      </w:pPr>
      <w:r>
        <w:rPr>
          <w:rFonts w:eastAsia="Arial" w:cs="Arial"/>
          <w:sz w:val="22"/>
          <w:szCs w:val="22"/>
        </w:rPr>
        <w:t>Corporal D. Moll — Dec 2 responding officer, case LS26-1911</w:t>
      </w:r>
    </w:p>
    <w:p>
      <w:pPr>
        <w:pStyle w:val="ListParagraph"/>
        <w:numPr>
          <w:ilvl w:val="0"/>
          <w:numId w:val="4"/>
        </w:numPr>
        <w:spacing w:before="0" w:after="100"/>
        <w:rPr/>
      </w:pPr>
      <w:r>
        <w:rPr>
          <w:rFonts w:eastAsia="Arial" w:cs="Arial"/>
          <w:sz w:val="22"/>
          <w:szCs w:val="22"/>
        </w:rPr>
        <w:t>Corporal Nicholas Blanton — Dec 9 and Feb 20 responding officer</w:t>
      </w:r>
    </w:p>
    <w:p>
      <w:pPr>
        <w:pStyle w:val="Heading2"/>
        <w:rPr/>
      </w:pPr>
      <w:r>
        <w:rPr>
          <w:rFonts w:eastAsia="Arial" w:cs="Arial" w:ascii="Arial" w:hAnsi="Arial"/>
        </w:rPr>
        <w:t>Law Enforcement / Officials:</w:t>
      </w:r>
    </w:p>
    <w:p>
      <w:pPr>
        <w:pStyle w:val="ListParagraph"/>
        <w:numPr>
          <w:ilvl w:val="0"/>
          <w:numId w:val="4"/>
        </w:numPr>
        <w:spacing w:before="0" w:after="100"/>
        <w:rPr/>
      </w:pPr>
      <w:r>
        <w:rPr>
          <w:rFonts w:eastAsia="Arial" w:cs="Arial"/>
          <w:sz w:val="22"/>
          <w:szCs w:val="22"/>
        </w:rPr>
        <w:t>Undersheriff Ben Woods — bwoods@lakemt.gov, (406) 249-3002</w:t>
      </w:r>
    </w:p>
    <w:p>
      <w:pPr>
        <w:pStyle w:val="ListParagraph"/>
        <w:numPr>
          <w:ilvl w:val="0"/>
          <w:numId w:val="4"/>
        </w:numPr>
        <w:spacing w:before="0" w:after="100"/>
        <w:rPr/>
      </w:pPr>
      <w:r>
        <w:rPr>
          <w:rFonts w:eastAsia="Arial" w:cs="Arial"/>
          <w:sz w:val="22"/>
          <w:szCs w:val="22"/>
        </w:rPr>
        <w:t>County Attorney James Lapotka — jlapotka@lakemt.gov, (406) 883-7247</w:t>
      </w:r>
    </w:p>
    <w:p>
      <w:pPr>
        <w:pStyle w:val="ListParagraph"/>
        <w:numPr>
          <w:ilvl w:val="0"/>
          <w:numId w:val="0"/>
        </w:numPr>
        <w:spacing w:before="0" w:after="100"/>
        <w:ind w:hanging="0" w:start="720"/>
        <w:rPr>
          <w:rFonts w:ascii="Arial" w:hAnsi="Arial" w:eastAsia="Arial" w:cs="Arial"/>
          <w:sz w:val="22"/>
          <w:szCs w:val="22"/>
        </w:rPr>
      </w:pPr>
      <w:r>
        <w:rPr/>
      </w:r>
    </w:p>
    <w:p>
      <w:pPr>
        <w:pStyle w:val="Heading2"/>
        <w:rPr/>
      </w:pPr>
      <w:r>
        <w:rPr>
          <w:rFonts w:eastAsia="Arial" w:cs="Arial" w:ascii="Arial" w:hAnsi="Arial"/>
        </w:rPr>
        <w:t xml:space="preserve">Squatting </w:t>
      </w:r>
      <w:r>
        <w:rPr>
          <w:rFonts w:eastAsia="Arial" w:cs="Arial" w:ascii="Arial" w:hAnsi="Arial"/>
        </w:rPr>
        <w:t>Parties:</w:t>
      </w:r>
    </w:p>
    <w:p>
      <w:pPr>
        <w:pStyle w:val="ListParagraph"/>
        <w:numPr>
          <w:ilvl w:val="0"/>
          <w:numId w:val="4"/>
        </w:numPr>
        <w:spacing w:before="0" w:after="100"/>
        <w:rPr/>
      </w:pPr>
      <w:r>
        <w:rPr>
          <w:rFonts w:eastAsia="Arial" w:cs="Arial"/>
          <w:sz w:val="22"/>
          <w:szCs w:val="22"/>
        </w:rPr>
        <w:t>Josh Ochoa — Unauthorized occupant</w:t>
      </w:r>
    </w:p>
    <w:p>
      <w:pPr>
        <w:pStyle w:val="ListParagraph"/>
        <w:numPr>
          <w:ilvl w:val="0"/>
          <w:numId w:val="4"/>
        </w:numPr>
        <w:spacing w:before="0" w:after="100"/>
        <w:rPr/>
      </w:pPr>
      <w:r>
        <w:rPr>
          <w:rFonts w:eastAsia="Arial" w:cs="Arial"/>
          <w:sz w:val="22"/>
          <w:szCs w:val="22"/>
        </w:rPr>
        <w:t>Bre Ochoa — Unauthorized occupant</w:t>
      </w:r>
    </w:p>
    <w:p>
      <w:pPr>
        <w:pStyle w:val="ListParagraph"/>
        <w:numPr>
          <w:ilvl w:val="0"/>
          <w:numId w:val="0"/>
        </w:numPr>
        <w:spacing w:before="0" w:after="100"/>
        <w:ind w:hanging="0" w:start="720"/>
        <w:rPr>
          <w:rFonts w:ascii="Arial" w:hAnsi="Arial" w:eastAsia="Arial" w:cs="Arial"/>
          <w:sz w:val="22"/>
          <w:szCs w:val="22"/>
        </w:rPr>
      </w:pP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Liberation Sans">
    <w:altName w:val="Arial"/>
    <w:charset w:val="00" w:characterSet="windows-1252"/>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CCCCCC"/>
      </w:pBdr>
      <w:jc w:val="center"/>
      <w:rPr/>
    </w:pPr>
    <w:r>
      <w:rPr>
        <w:rFonts w:eastAsia="Arial" w:cs="Arial"/>
        <w:color w:val="888888"/>
        <w:sz w:val="18"/>
        <w:szCs w:val="18"/>
      </w:rPr>
      <w:t xml:space="preserve">CONFIDENTIAL — Page </w:t>
    </w:r>
    <w:r>
      <w:rPr>
        <w:rFonts w:eastAsia="Arial" w:cs="Arial"/>
        <w:sz w:val="22"/>
        <w:szCs w:val="22"/>
      </w:rPr>
      <w:fldChar w:fldCharType="begin"/>
    </w:r>
    <w:r>
      <w:rPr>
        <w:rFonts w:eastAsia="Arial" w:cs="Arial"/>
        <w:sz w:val="22"/>
        <w:szCs w:val="22"/>
      </w:rPr>
      <w:instrText xml:space="preserve"> PAGE </w:instrText>
    </w:r>
    <w:r>
      <w:rPr>
        <w:rFonts w:eastAsia="Arial" w:cs="Arial"/>
        <w:sz w:val="22"/>
        <w:szCs w:val="22"/>
      </w:rPr>
      <w:fldChar w:fldCharType="separate"/>
    </w:r>
    <w:r>
      <w:rPr>
        <w:rFonts w:eastAsia="Arial" w:cs="Arial"/>
        <w:sz w:val="22"/>
        <w:szCs w:val="22"/>
      </w:rPr>
      <w:t>5</w:t>
    </w:r>
    <w:r>
      <w:rPr>
        <w:rFonts w:eastAsia="Arial" w:cs="Arial"/>
        <w:sz w:val="22"/>
        <w:szCs w:val="22"/>
      </w:rPr>
      <w:fldChar w:fldCharType="end"/>
    </w:r>
    <w:r>
      <w:rPr>
        <w:rFonts w:eastAsia="Arial" w:cs="Arial"/>
        <w:color w:val="888888"/>
        <w:sz w:val="18"/>
        <w:szCs w:val="18"/>
      </w:rPr>
      <w:t xml:space="preserve"> of </w:t>
    </w:r>
    <w:r>
      <w:rPr>
        <w:rFonts w:eastAsia="Arial" w:cs="Arial"/>
        <w:sz w:val="22"/>
        <w:szCs w:val="22"/>
      </w:rPr>
      <w:fldChar w:fldCharType="begin"/>
    </w:r>
    <w:r>
      <w:rPr>
        <w:rFonts w:eastAsia="Arial" w:cs="Arial"/>
        <w:sz w:val="22"/>
        <w:szCs w:val="22"/>
      </w:rPr>
      <w:instrText xml:space="preserve"> NUMPAGES </w:instrText>
    </w:r>
    <w:r>
      <w:rPr>
        <w:rFonts w:eastAsia="Arial" w:cs="Arial"/>
        <w:sz w:val="22"/>
        <w:szCs w:val="22"/>
      </w:rPr>
      <w:fldChar w:fldCharType="separate"/>
    </w:r>
    <w:r>
      <w:rPr>
        <w:rFonts w:eastAsia="Arial" w:cs="Arial"/>
        <w:sz w:val="22"/>
        <w:szCs w:val="22"/>
      </w:rPr>
      <w:t>5</w:t>
    </w:r>
    <w:r>
      <w:rPr>
        <w:rFonts w:eastAsia="Arial" w:cs="Arial"/>
        <w:sz w:val="22"/>
        <w:szCs w:val="22"/>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CCCCCC"/>
      </w:pBdr>
      <w:jc w:val="center"/>
      <w:rPr/>
    </w:pPr>
    <w:r>
      <w:rPr>
        <w:rFonts w:eastAsia="Arial" w:cs="Arial"/>
        <w:color w:val="888888"/>
        <w:sz w:val="18"/>
        <w:szCs w:val="18"/>
      </w:rPr>
      <w:t xml:space="preserve">CONFIDENTIAL — Page </w:t>
    </w:r>
    <w:r>
      <w:rPr>
        <w:rFonts w:eastAsia="Arial" w:cs="Arial"/>
        <w:sz w:val="22"/>
        <w:szCs w:val="22"/>
      </w:rPr>
      <w:fldChar w:fldCharType="begin"/>
    </w:r>
    <w:r>
      <w:rPr>
        <w:rFonts w:eastAsia="Arial" w:cs="Arial"/>
        <w:sz w:val="22"/>
        <w:szCs w:val="22"/>
      </w:rPr>
      <w:instrText xml:space="preserve"> PAGE </w:instrText>
    </w:r>
    <w:r>
      <w:rPr>
        <w:rFonts w:eastAsia="Arial" w:cs="Arial"/>
        <w:sz w:val="22"/>
        <w:szCs w:val="22"/>
      </w:rPr>
      <w:fldChar w:fldCharType="separate"/>
    </w:r>
    <w:r>
      <w:rPr>
        <w:rFonts w:eastAsia="Arial" w:cs="Arial"/>
        <w:sz w:val="22"/>
        <w:szCs w:val="22"/>
      </w:rPr>
      <w:t>5</w:t>
    </w:r>
    <w:r>
      <w:rPr>
        <w:rFonts w:eastAsia="Arial" w:cs="Arial"/>
        <w:sz w:val="22"/>
        <w:szCs w:val="22"/>
      </w:rPr>
      <w:fldChar w:fldCharType="end"/>
    </w:r>
    <w:r>
      <w:rPr>
        <w:rFonts w:eastAsia="Arial" w:cs="Arial"/>
        <w:color w:val="888888"/>
        <w:sz w:val="18"/>
        <w:szCs w:val="18"/>
      </w:rPr>
      <w:t xml:space="preserve"> of </w:t>
    </w:r>
    <w:r>
      <w:rPr>
        <w:rFonts w:eastAsia="Arial" w:cs="Arial"/>
        <w:sz w:val="22"/>
        <w:szCs w:val="22"/>
      </w:rPr>
      <w:fldChar w:fldCharType="begin"/>
    </w:r>
    <w:r>
      <w:rPr>
        <w:rFonts w:eastAsia="Arial" w:cs="Arial"/>
        <w:sz w:val="22"/>
        <w:szCs w:val="22"/>
      </w:rPr>
      <w:instrText xml:space="preserve"> NUMPAGES </w:instrText>
    </w:r>
    <w:r>
      <w:rPr>
        <w:rFonts w:eastAsia="Arial" w:cs="Arial"/>
        <w:sz w:val="22"/>
        <w:szCs w:val="22"/>
      </w:rPr>
      <w:fldChar w:fldCharType="separate"/>
    </w:r>
    <w:r>
      <w:rPr>
        <w:rFonts w:eastAsia="Arial" w:cs="Arial"/>
        <w:sz w:val="22"/>
        <w:szCs w:val="22"/>
      </w:rPr>
      <w:t>5</w:t>
    </w:r>
    <w:r>
      <w:rPr>
        <w:rFonts w:eastAsia="Arial" w:cs="Arial"/>
        <w:sz w:val="22"/>
        <w:szCs w:val="22"/>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2B4C7E"/>
      </w:pBdr>
      <w:jc w:val="end"/>
      <w:rPr/>
    </w:pPr>
    <w:r>
      <w:rPr>
        <w:rFonts w:eastAsia="Arial" w:cs="Arial"/>
        <w:i/>
        <w:iCs/>
        <w:color w:val="888888"/>
        <w:sz w:val="18"/>
        <w:szCs w:val="18"/>
      </w:rPr>
      <w:t>CASE REFERENCE — OFFICER MISCONDUCT FACTS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2B4C7E"/>
      </w:pBdr>
      <w:jc w:val="end"/>
      <w:rPr/>
    </w:pPr>
    <w:r>
      <w:rPr>
        <w:rFonts w:eastAsia="Arial" w:cs="Arial"/>
        <w:i/>
        <w:iCs/>
        <w:color w:val="888888"/>
        <w:sz w:val="18"/>
        <w:szCs w:val="18"/>
      </w:rPr>
      <w:t>CASE REFERENCE — OFFICER MISCONDUCT FACTS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1"/>
    <w:lvlOverride w:ilvl="0">
      <w:startOverride w:val="1"/>
    </w:lvlOverride>
  </w:num>
  <w:num w:numId="7">
    <w:abstractNumId w:val="2"/>
    <w:lvlOverride w:ilvl="0">
      <w:startOverride w:val="1"/>
    </w:lvlOverride>
  </w:num>
  <w:num w:numId="8">
    <w:abstractNumId w:val="3"/>
    <w:lvlOverride w:ilvl="0">
      <w:startOverride w:val="1"/>
    </w:lvlOverride>
  </w:num>
  <w:num w:numId="9">
    <w:abstractNumId w:val="4"/>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pBdr>
        <w:bottom w:val="single" w:sz="4" w:space="4" w:color="2B4C7E"/>
      </w:pBdr>
      <w:spacing w:before="360" w:after="200"/>
      <w:outlineLvl w:val="0"/>
    </w:pPr>
    <w:rPr>
      <w:rFonts w:ascii="Arial" w:hAnsi="Arial" w:eastAsia="Arial" w:cs="Arial"/>
      <w:b/>
      <w:bCs/>
      <w:color w:val="2B4C7E"/>
      <w:sz w:val="32"/>
      <w:szCs w:val="32"/>
    </w:rPr>
  </w:style>
  <w:style w:type="paragraph" w:styleId="Heading2">
    <w:name w:val="heading 2"/>
    <w:basedOn w:val="Heading"/>
    <w:qFormat/>
    <w:pPr>
      <w:spacing w:before="240" w:after="160"/>
      <w:outlineLvl w:val="1"/>
    </w:pPr>
    <w:rPr>
      <w:rFonts w:ascii="Arial" w:hAnsi="Arial" w:eastAsia="Arial" w:cs="Arial"/>
      <w:b/>
      <w:bCs/>
      <w:color w:val="3D6098"/>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127</TotalTime>
  <Application>LibreOffice/26.2.0.3$Windows_X86_64 LibreOffice_project/620$Build-3</Application>
  <AppVersion>15.0000</AppVersion>
  <Pages>5</Pages>
  <Words>1340</Words>
  <Characters>7168</Characters>
  <CharactersWithSpaces>8376</CharactersWithSpaces>
  <Paragraphs>115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2026-03-02T02:43:29Z</dcterms:created>
  <dc:creator>Un-named</dc:creator>
  <dc:description/>
  <dc:language>en-US</dc:language>
  <cp:lastModifiedBy/>
  <dcterms:modified xsi:type="dcterms:W3CDTF">2026-03-01T20:46:04Z</dcterms:modified>
  <cp:revision>10</cp:revision>
  <dc:subject/>
  <dc:title/>
</cp:coreProperties>
</file>