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3D4F"/>
          <w:sz w:val="32"/>
          <w:szCs w:val="32"/>
        </w:rPr>
        <w:t xml:space="preserve">DAMAGES CAUSED BY OFFICER MISCONDUCT</w:t>
      </w:r>
    </w:p>
    <w:p>
      <w:pPr>
        <w:spacing w:after="40"/>
        <w:jc w:val="center"/>
      </w:pPr>
      <w:r>
        <w:rPr>
          <w:rFonts w:ascii="Arial" w:cs="Arial" w:eastAsia="Arial" w:hAnsi="Arial"/>
          <w:color w:val="555555"/>
          <w:sz w:val="22"/>
          <w:szCs w:val="22"/>
        </w:rPr>
        <w:t xml:space="preserve">Corporal D. Moll &amp; Corporal Nicholas Blanton</w:t>
      </w:r>
    </w:p>
    <w:p>
      <w:pPr>
        <w:spacing w:after="40"/>
        <w:jc w:val="center"/>
      </w:pPr>
      <w:r>
        <w:rPr>
          <w:rFonts w:ascii="Arial" w:cs="Arial" w:eastAsia="Arial" w:hAnsi="Arial"/>
          <w:color w:val="555555"/>
          <w:sz w:val="22"/>
          <w:szCs w:val="22"/>
        </w:rPr>
        <w:t xml:space="preserve">Lake County Sheriff’s Department — Lake County, Montana</w:t>
      </w:r>
    </w:p>
    <w:p>
      <w:pPr>
        <w:spacing w:after="200"/>
        <w:jc w:val="center"/>
      </w:pPr>
      <w:r>
        <w:rPr>
          <w:rFonts w:ascii="Arial" w:cs="Arial" w:eastAsia="Arial" w:hAnsi="Arial"/>
          <w:color w:val="888888"/>
          <w:sz w:val="20"/>
          <w:szCs w:val="20"/>
        </w:rPr>
        <w:t xml:space="preserve">Robertson / Runyan Families — 39360 MT HWY 83, Bigfork, MT 59911</w:t>
      </w:r>
    </w:p>
    <w:p>
      <w:pPr>
        <w:pStyle w:val="Heading1"/>
      </w:pPr>
      <w:r>
        <w:t xml:space="preserve">THESE ARE NOT FAILURES OF POLICY. THESE ARE DIRECT ACTIONS TAKEN BY INDIVIDUAL OFFICERS.</w:t>
      </w:r>
    </w:p>
    <w:p>
      <w:pPr>
        <w:spacing w:after="100"/>
      </w:pPr>
      <w:r>
        <w:rPr>
          <w:b/>
          <w:bCs/>
        </w:rPr>
        <w:t xml:space="preserve">Corporal D. Moll personally</w:t>
      </w:r>
      <w:r>
        <w:t xml:space="preserve"> responded to Julie Robertson’s call on December 2, 2025. Moll </w:t>
      </w:r>
      <w:r>
        <w:rPr>
          <w:b/>
          <w:bCs/>
        </w:rPr>
        <w:t xml:space="preserve">personally decided</w:t>
      </w:r>
      <w:r>
        <w:t xml:space="preserve"> not to call Chris Robertson to verify. Moll </w:t>
      </w:r>
      <w:r>
        <w:rPr>
          <w:b/>
          <w:bCs/>
        </w:rPr>
        <w:t xml:space="preserve">personally told</w:t>
      </w:r>
      <w:r>
        <w:t xml:space="preserve"> the disabled property owner she had to go through civil court. Moll </w:t>
      </w:r>
      <w:r>
        <w:rPr>
          <w:b/>
          <w:bCs/>
        </w:rPr>
        <w:t xml:space="preserve">personally sided with the unauthorized occupant</w:t>
      </w:r>
      <w:r>
        <w:t xml:space="preserve"> over the property owner without making a single verification call. The law (MCA § 70-24-113) required him to verify. He chose not to.</w:t>
      </w:r>
    </w:p>
    <w:p>
      <w:pPr>
        <w:spacing w:after="100"/>
      </w:pPr>
      <w:r>
        <w:rPr>
          <w:b/>
          <w:bCs/>
        </w:rPr>
        <w:t xml:space="preserve">Corporal Nicholas Blanton personally</w:t>
      </w:r>
      <w:r>
        <w:t xml:space="preserve"> responded on December 9, 2025. Blanton </w:t>
      </w:r>
      <w:r>
        <w:rPr>
          <w:b/>
          <w:bCs/>
        </w:rPr>
        <w:t xml:space="preserve">personally ordered</w:t>
      </w:r>
      <w:r>
        <w:t xml:space="preserve"> Lexi Robertson and her family to leave her own titled trailer. Blanton </w:t>
      </w:r>
      <w:r>
        <w:rPr>
          <w:b/>
          <w:bCs/>
        </w:rPr>
        <w:t xml:space="preserve">personally decided</w:t>
      </w:r>
      <w:r>
        <w:t xml:space="preserve"> not to verify her ownership. On February 20, 2026, Blanton </w:t>
      </w:r>
      <w:r>
        <w:rPr>
          <w:b/>
          <w:bCs/>
        </w:rPr>
        <w:t xml:space="preserve">personally told</w:t>
      </w:r>
      <w:r>
        <w:t xml:space="preserve"> Lexi’s agent they had no right to inspect her trailer. Blanton </w:t>
      </w:r>
      <w:r>
        <w:rPr>
          <w:b/>
          <w:bCs/>
        </w:rPr>
        <w:t xml:space="preserve">personally told</w:t>
      </w:r>
      <w:r>
        <w:t xml:space="preserve"> Karen Runyan she could not secure the property. Blanton </w:t>
      </w:r>
      <w:r>
        <w:rPr>
          <w:b/>
          <w:bCs/>
        </w:rPr>
        <w:t xml:space="preserve">personally took on the duty</w:t>
      </w:r>
      <w:r>
        <w:t xml:space="preserve"> to secure it, then </w:t>
      </w:r>
      <w:r>
        <w:rPr>
          <w:b/>
          <w:bCs/>
        </w:rPr>
        <w:t xml:space="preserve">personally left the back door open</w:t>
      </w:r>
      <w:r>
        <w:t xml:space="preserve"> for the occupants to walk through.</w:t>
      </w:r>
    </w:p>
    <w:p>
      <w:pPr>
        <w:spacing w:after="160"/>
      </w:pPr>
      <w:r>
        <w:rPr>
          <w:b/>
          <w:bCs/>
        </w:rPr>
        <w:t xml:space="preserve">Every harm listed below was directly caused by the personal decisions and direct actions of these two officers. Not by policy. Not by circumstance. By them.</w:t>
      </w:r>
    </w:p>
    <w:p>
      <w:pPr>
        <w:pStyle w:val="Heading1"/>
      </w:pPr>
      <w:r>
        <w:t xml:space="preserve">DAMAGES DIRECTLY CAUSED BY OFFICER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AAAAAA" w:sz="1"/>
              <w:left w:val="single" w:color="AAAAAA" w:sz="1"/>
              <w:bottom w:val="single" w:color="AAAAAA" w:sz="1"/>
              <w:right w:val="single" w:color="AAAAAA" w:sz="1"/>
            </w:tcBorders>
            <w:shd w:fill="2B3D4F" w:val="clear"/>
            <w:tcMar>
              <w:top w:type="dxa" w:w="60"/>
              <w:left w:type="dxa" w:w="100"/>
              <w:bottom w:type="dxa" w:w="60"/>
              <w:right w:type="dxa" w:w="100"/>
            </w:tcMar>
          </w:tcPr>
          <w:p>
            <w:pPr>
              <w:spacing w:before="30" w:after="30"/>
            </w:pPr>
            <w:r>
              <w:rPr>
                <w:rFonts w:ascii="Arial" w:cs="Arial" w:eastAsia="Arial" w:hAnsi="Arial"/>
                <w:b/>
                <w:bCs/>
                <w:color w:val="FFFFFF"/>
                <w:sz w:val="20"/>
                <w:szCs w:val="20"/>
              </w:rPr>
              <w:t xml:space="preserve">DAMAGE CATEGORY</w:t>
            </w:r>
          </w:p>
        </w:tc>
        <w:tc>
          <w:tcPr>
            <w:tcW w:type="dxa" w:w="3360"/>
            <w:tcBorders>
              <w:top w:val="single" w:color="AAAAAA" w:sz="1"/>
              <w:left w:val="single" w:color="AAAAAA" w:sz="1"/>
              <w:bottom w:val="single" w:color="AAAAAA" w:sz="1"/>
              <w:right w:val="single" w:color="AAAAAA" w:sz="1"/>
            </w:tcBorders>
            <w:shd w:fill="2B3D4F" w:val="clear"/>
            <w:tcMar>
              <w:top w:type="dxa" w:w="60"/>
              <w:left w:type="dxa" w:w="100"/>
              <w:bottom w:type="dxa" w:w="60"/>
              <w:right w:type="dxa" w:w="100"/>
            </w:tcMar>
          </w:tcPr>
          <w:p>
            <w:pPr>
              <w:spacing w:before="30" w:after="30"/>
              <w:jc w:val="right"/>
            </w:pPr>
            <w:r>
              <w:rPr>
                <w:rFonts w:ascii="Arial" w:cs="Arial" w:eastAsia="Arial" w:hAnsi="Arial"/>
                <w:b/>
                <w:bCs/>
                <w:color w:val="FFFFFF"/>
                <w:sz w:val="20"/>
                <w:szCs w:val="20"/>
              </w:rPr>
              <w:t xml:space="preserve">EXPOSURE</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 DIRECTLY TRESPASSED JULIE FROM HER OWN HOME (Dec 2) — Moll personally ordered the disabled property owner off her own property. Julie owns the house. Moll chose to protect the squatter over the owner.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Violation of property rights, § 1983 deprivation</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 DIRECTLY FORCED JULIE INTO CIVIL LITIGATION (Dec 2) — Moll personally told Julie she had to go through civil court. She should never have been there. One phone call to Chris Robertson would have resolved it.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Forced litigation, pro se with no attorney</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MOLL’S DIRECT ACTION FORCED A DEVASTATING COURT OUTCOME (Jan 27, 2026) — Because Moll forced Julie into court, she had to represent herself. She could not speak. The judgment was technically in Julie’s favor, but the judge gave the occupants a 6-month move-out period — meaning squatters who should have been removed on Dec 2 get to stay in her home until September 2026.</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9+ months of lost possession despite “winning”</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MOLL’S DIRECT ACTION CAUSED ONGOING LOST INCOME — Because Moll did not remove the occupants on Dec 2, Julie lost $2,500/mo (house) and $1,500/mo (camper) from that day forward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$4,000/mo × every month since Dec 2</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MOLL’S DIRECT ACTION MADE JULIE HOMELESS — Because Moll sided with the occupant, Julie (disabled) had no home, no disability equipment, no vehicles. She was forced to flee 1,800+ miles to Tennessee in winter.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Travel, lodging, displacement of disabled person</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MOLL’S DIRECT ACTION DENIED JULIE HER DISABILITY EQUIPMENT — Because Moll left the occupants in place, Julie could not access her wheelchair and assistive devices. Her condition worsened. She had to buy replacements.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ADA / Fair Housing Act violation, medical costs</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 DIRECTLY TRESPASSED LEXI FROM HER OWN TITLED TRAILER (Dec 9) — Blanton personally ordered Lexi and her family off the property. Lexi owns the trailer (VIN: GDMASD3977-2446). She came to install her heater. Blanton sent her away.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Violation of property rights, § 1983 deprivation</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BLANTON’S DIRECT ACTION LEFT LEXI’S FAMILY HOMELESS (Dec 9) — Because Blanton ordered Lexi off her own property, her family continued sleeping in a truck in winter with children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Displacement, child welfare, emotional distress</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BLANTON’S DIRECT ACTION FORCED LEXI TO OBTAIN A COURT MOTION — Because Blanton refused to verify ownership, Lexi had to go to a judge to get permission to access property she already owns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Legal costs, delay, continued harm</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 DIRECTLY MADE FALSE STATEMENTS TO LEXI’S AGENT (Feb 20, 4:00 PM) — Blanton personally told the agent they had no right to inspect Lexi’s trailer. This was false. Lexi is the titled owner. Her agent had every legal right.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False statements by officer, continued deprivation</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 DIRECTLY PREVENTED KAREN RUNYAN FROM SECURING THE PROPERTY (Feb 20) — Blanton personally told Karen she could not secure Lexi’s trailer and that only he could do it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Officer assumed duty, denied family their rights</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 DIRECTLY LEFT THE BACK DOOR UNSECURED (Feb 20) — After personally preventing the family from securing the trailer, Blanton personally failed to secure the rear entrance. Occupants walked right back in.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Officer enabled continued unauthorized access</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BLANTON DIRECTLY FAILED TO COMPLETE THE SAFETY WALKTHROUGH (Feb 20) — Blanton personally took on the duty to inspect the trailer and personally did not finish it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Dereliction of assumed duty</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BOTH OFFICERS’ DIRECT ACTIONS ENABLED $250,000+ IN PROPERTY DAMAGE — Because Moll did not remove the occupants on Dec 2, and Blanton continued to protect them on Dec 9 and Feb 20, the occupants have destroyed $33,000 in structural damage and stolen $162,000+ in personal property</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$250,000+ and growing</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BOTH OFFICERS’ DIRECT ACTIONS ENABLED UTILITY THEFT — Because officers left occupants in place, excessive electric usage was billed to Julie’s account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$1,118+ documented</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MOLL’S DIRECT ACTION LEFT IDENTITY DOCUMENTS WITH OCCUPANTS — Julie’s SSN card, birth certificates, and marriage license remain in the hands of unauthorized occupants because Moll did not remove them on Dec 2</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Ongoing identity theft risk</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BOTH OFFICERS DIRECTLY CAUSED EMOTIONAL DISTRESS TO ALL PARTIES — Moll trespassed a disabled woman from her home. Blanton trespassed a mother and children from their trailer. Karen’s irreplaceable wedding dress was lost. Children witnessed threats.</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Multiple plaintiffs, ongoing</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MOLL’S DIRECT ACTION LEFT TITLED VEHICLES WITH OCCUPANTS — Fifth wheel ($15K), camper van ($8K), and other titled vehicles remain held by unauthorized occupants because Moll did not remove them on Dec 2</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$23,000+ in titled vehicles</w:t>
            </w:r>
          </w:p>
        </w:tc>
      </w:tr>
      <w:tr>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pPr>
            <w:r>
              <w:rPr>
                <w:rFonts w:ascii="Arial" w:cs="Arial" w:eastAsia="Arial" w:hAnsi="Arial"/>
                <w:b w:val="false"/>
                <w:bCs w:val="false"/>
                <w:color w:val="333333"/>
                <w:sz w:val="20"/>
                <w:szCs w:val="20"/>
              </w:rPr>
              <w:t xml:space="preserve">FEBRUARY 20 PROVES THIS IS A PATTERN OF DIRECT ACTION, NOT A MISTAKE — Over 2 months later, Blanton is personally making the same false claims about the same titled property. This is deliberate.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30" w:after="30"/>
              <w:jc w:val="right"/>
            </w:pPr>
            <w:r>
              <w:rPr>
                <w:rFonts w:ascii="Arial" w:cs="Arial" w:eastAsia="Arial" w:hAnsi="Arial"/>
                <w:b w:val="false"/>
                <w:bCs w:val="false"/>
                <w:color w:val="333333"/>
                <w:sz w:val="20"/>
                <w:szCs w:val="20"/>
              </w:rPr>
              <w:t xml:space="preserve">Pattern evidence for Monell / policy claim</w:t>
            </w:r>
          </w:p>
        </w:tc>
      </w:tr>
      <w:tr>
        <w:tc>
          <w:tcPr>
            <w:tcW w:type="dxa" w:w="60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before="30" w:after="30"/>
            </w:pPr>
            <w:r>
              <w:rPr>
                <w:rFonts w:ascii="Arial" w:cs="Arial" w:eastAsia="Arial" w:hAnsi="Arial"/>
                <w:b/>
                <w:bCs/>
                <w:color w:val="333333"/>
                <w:sz w:val="20"/>
                <w:szCs w:val="20"/>
              </w:rPr>
              <w:t xml:space="preserve">TOTAL DOCUMENTED EXPOSURE</w:t>
            </w:r>
          </w:p>
        </w:tc>
        <w:tc>
          <w:tcPr>
            <w:tcW w:type="dxa" w:w="336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pPr>
              <w:spacing w:before="30" w:after="30"/>
              <w:jc w:val="right"/>
            </w:pPr>
            <w:r>
              <w:rPr>
                <w:rFonts w:ascii="Arial" w:cs="Arial" w:eastAsia="Arial" w:hAnsi="Arial"/>
                <w:b/>
                <w:bCs/>
                <w:color w:val="333333"/>
                <w:sz w:val="20"/>
                <w:szCs w:val="20"/>
              </w:rPr>
              <w:t xml:space="preserve">$250,000+ and growing monthly</w:t>
            </w:r>
          </w:p>
        </w:tc>
      </w:tr>
    </w:tbl>
    <w:p>
      <w:pPr>
        <w:pStyle w:val="Heading1"/>
      </w:pPr>
      <w:r>
        <w:t xml:space="preserve">LEGAL THEORIES AGAINST OFFICERS / COUNTY</w:t>
      </w:r>
    </w:p>
    <w:p>
      <w:pPr>
        <w:pStyle w:val="ListParagraph"/>
        <w:numPr>
          <w:ilvl w:val="0"/>
          <w:numId w:val="2"/>
        </w:numPr>
        <w:spacing w:after="60"/>
      </w:pPr>
      <w:r>
        <w:rPr>
          <w:b/>
          <w:bCs/>
        </w:rPr>
        <w:t xml:space="preserve">42 U.S.C. § 1983 — </w:t>
      </w:r>
      <w:r>
        <w:t xml:space="preserve">Violation of civil rights under color of law. Officers deprived property owners of their rights to their own property without due process. Disabled property owner specifically targeted for disparate treatment. </w:t>
      </w:r>
      <w:r>
        <w:rPr>
          <w:b/>
          <w:bCs/>
        </w:rPr>
        <w:t xml:space="preserve">Attorney fees paid by defendant under § 1988.</w:t>
      </w:r>
    </w:p>
    <w:p>
      <w:pPr>
        <w:pStyle w:val="ListParagraph"/>
        <w:numPr>
          <w:ilvl w:val="0"/>
          <w:numId w:val="2"/>
        </w:numPr>
        <w:spacing w:after="60"/>
      </w:pPr>
      <w:r>
        <w:rPr>
          <w:b/>
          <w:bCs/>
        </w:rPr>
        <w:t xml:space="preserve">Fair Housing Act (42 U.S.C. § 3617) — </w:t>
      </w:r>
      <w:r>
        <w:t xml:space="preserve">Officers interfered with disabled property owner’s enjoyment of her own home. Denied access to disability equipment. Federal civil penalties available.</w:t>
      </w:r>
    </w:p>
    <w:p>
      <w:pPr>
        <w:pStyle w:val="ListParagraph"/>
        <w:numPr>
          <w:ilvl w:val="0"/>
          <w:numId w:val="2"/>
        </w:numPr>
        <w:spacing w:after="60"/>
      </w:pPr>
      <w:r>
        <w:rPr>
          <w:b/>
          <w:bCs/>
        </w:rPr>
        <w:t xml:space="preserve">Montana Human Rights Act (MCA § 49-2-305) — </w:t>
      </w:r>
      <w:r>
        <w:t xml:space="preserve">Disability discrimination. Civil penalties up to $25,000.</w:t>
      </w:r>
    </w:p>
    <w:p>
      <w:pPr>
        <w:pStyle w:val="ListParagraph"/>
        <w:numPr>
          <w:ilvl w:val="0"/>
          <w:numId w:val="2"/>
        </w:numPr>
        <w:spacing w:after="60"/>
      </w:pPr>
      <w:r>
        <w:rPr>
          <w:b/>
          <w:bCs/>
        </w:rPr>
        <w:t xml:space="preserve">Negligence / Failure to Perform Statutory Duty — </w:t>
      </w:r>
      <w:r>
        <w:t xml:space="preserve">Officers had a specific statutory obligation under MCA § 70-24-113. They failed to perform it. All subsequent harm was foreseeable.</w:t>
      </w:r>
    </w:p>
    <w:p>
      <w:pPr>
        <w:pStyle w:val="ListParagraph"/>
        <w:numPr>
          <w:ilvl w:val="0"/>
          <w:numId w:val="2"/>
        </w:numPr>
        <w:spacing w:after="60"/>
      </w:pPr>
      <w:r>
        <w:rPr>
          <w:b/>
          <w:bCs/>
        </w:rPr>
        <w:t xml:space="preserve">Monell Liability (County) — </w:t>
      </w:r>
      <w:r>
        <w:t xml:space="preserve">Pattern of failure across two officers and three incidents suggests policy, custom, or failure to train. The department’s own leadership (Undersheriff Woods, County Attorney Lapotka) acknowledged the officers’ approach and endorsed it.</w:t>
      </w:r>
    </w:p>
    <w:p>
      <w:pPr>
        <w:pStyle w:val="ListParagraph"/>
        <w:numPr>
          <w:ilvl w:val="0"/>
          <w:numId w:val="2"/>
        </w:numPr>
        <w:spacing w:after="60"/>
      </w:pPr>
      <w:r>
        <w:rPr>
          <w:b/>
          <w:bCs/>
        </w:rPr>
        <w:t xml:space="preserve">Intentional Infliction of Emotional Distress — </w:t>
      </w:r>
      <w:r>
        <w:t xml:space="preserve">Trespassing a disabled woman from her own home and a mother with children from her own trailer in winter is extreme and outrageous conduct.</w:t>
      </w:r>
    </w:p>
    <w:p>
      <w:pPr>
        <w:pStyle w:val="Heading1"/>
      </w:pPr>
      <w:r>
        <w:t xml:space="preserve">WHY THIS CASE HAS VALUE</w:t>
      </w:r>
    </w:p>
    <w:p>
      <w:pPr>
        <w:pStyle w:val="ListParagraph"/>
        <w:numPr>
          <w:ilvl w:val="0"/>
          <w:numId w:val="2"/>
        </w:numPr>
        <w:spacing w:after="60"/>
      </w:pPr>
      <w:r>
        <w:t xml:space="preserve">Clear statutory duty (MCA § 70-24-113) that officers demonstrably failed to perform</w:t>
      </w:r>
    </w:p>
    <w:p>
      <w:pPr>
        <w:pStyle w:val="ListParagraph"/>
        <w:numPr>
          <w:ilvl w:val="0"/>
          <w:numId w:val="2"/>
        </w:numPr>
        <w:spacing w:after="60"/>
      </w:pPr>
      <w:r>
        <w:t xml:space="preserve">Disabled plaintiff — triggers federal and state enhanced protections and penalties</w:t>
      </w:r>
    </w:p>
    <w:p>
      <w:pPr>
        <w:pStyle w:val="ListParagraph"/>
        <w:numPr>
          <w:ilvl w:val="0"/>
          <w:numId w:val="2"/>
        </w:numPr>
        <w:spacing w:after="60"/>
      </w:pPr>
      <w:r>
        <w:t xml:space="preserve">Multiple plaintiffs across the same family with documented, quantifiable losses</w:t>
      </w:r>
    </w:p>
    <w:p>
      <w:pPr>
        <w:pStyle w:val="ListParagraph"/>
        <w:numPr>
          <w:ilvl w:val="0"/>
          <w:numId w:val="2"/>
        </w:numPr>
        <w:spacing w:after="60"/>
      </w:pPr>
      <w:r>
        <w:t xml:space="preserve">Extensive paper trail — emails to county officials, criminal complaint, court records, utility data</w:t>
      </w:r>
    </w:p>
    <w:p>
      <w:pPr>
        <w:pStyle w:val="ListParagraph"/>
        <w:numPr>
          <w:ilvl w:val="0"/>
          <w:numId w:val="2"/>
        </w:numPr>
        <w:spacing w:after="60"/>
      </w:pPr>
      <w:r>
        <w:t xml:space="preserve">County officials acknowledged on the record that verification was never done</w:t>
      </w:r>
    </w:p>
    <w:p>
      <w:pPr>
        <w:pStyle w:val="ListParagraph"/>
        <w:numPr>
          <w:ilvl w:val="0"/>
          <w:numId w:val="2"/>
        </w:numPr>
        <w:spacing w:after="60"/>
      </w:pPr>
      <w:r>
        <w:t xml:space="preserve">Repeating pattern — same failure by two officers across three dates over three months</w:t>
      </w:r>
    </w:p>
    <w:p>
      <w:pPr>
        <w:pStyle w:val="ListParagraph"/>
        <w:numPr>
          <w:ilvl w:val="0"/>
          <w:numId w:val="2"/>
        </w:numPr>
        <w:spacing w:after="60"/>
      </w:pPr>
      <w:r>
        <w:t xml:space="preserve">§ 1983 fee-shifting — attorney fees recoverable from defendant if plaintiffs prevail</w:t>
      </w:r>
    </w:p>
    <w:p>
      <w:pPr>
        <w:pStyle w:val="ListParagraph"/>
        <w:numPr>
          <w:ilvl w:val="0"/>
          <w:numId w:val="2"/>
        </w:numPr>
        <w:spacing w:after="60"/>
      </w:pPr>
      <w:r>
        <w:t xml:space="preserve">Damages are ongoing and increase every month the occupants remain</w:t>
      </w:r>
    </w:p>
    <w:p>
      <w:pPr>
        <w:pBdr>
          <w:top w:val="single" w:color="CCCCCC" w:sz="4" w:space="6"/>
        </w:pBdr>
        <w:spacing w:before="200"/>
      </w:pPr>
      <w:r>
        <w:rPr>
          <w:rFonts w:ascii="Arial" w:cs="Arial" w:eastAsia="Arial" w:hAnsi="Arial"/>
          <w:b/>
          <w:bCs/>
          <w:sz w:val="20"/>
          <w:szCs w:val="20"/>
        </w:rPr>
        <w:t xml:space="preserve">Contact: </w:t>
      </w:r>
      <w:r>
        <w:rPr>
          <w:rFonts w:ascii="Arial" w:cs="Arial" w:eastAsia="Arial" w:hAnsi="Arial"/>
          <w:sz w:val="20"/>
          <w:szCs w:val="20"/>
        </w:rPr>
        <w:t xml:space="preserve">Bryan Runyan — bryanrunyan2025@gmail.com — 360-643-0955</w:t>
      </w:r>
    </w:p>
    <w:p>
      <w:pPr>
        <w:spacing w:after="40"/>
      </w:pPr>
      <w:r>
        <w:rPr>
          <w:rFonts w:ascii="Arial" w:cs="Arial" w:eastAsia="Arial" w:hAnsi="Arial"/>
          <w:color w:val="888888"/>
          <w:sz w:val="18"/>
          <w:szCs w:val="18"/>
        </w:rPr>
        <w:t xml:space="preserve">Full documentation package available: </w:t>
      </w:r>
      <w:r>
        <w:rPr>
          <w:rFonts w:ascii="Arial" w:cs="Arial" w:eastAsia="Arial" w:hAnsi="Arial"/>
          <w:color w:val="888888"/>
          <w:sz w:val="18"/>
          <w:szCs w:val="18"/>
        </w:rPr>
        <w:t xml:space="preserve">Criminal complaint, property inventory, vehicle titles, electric usage data, email correspondence with county officials, court records, witness statements.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40"/>
      <w:outlineLvl w:val="0"/>
    </w:pPr>
    <w:rPr>
      <w:rFonts w:ascii="Arial" w:cs="Arial" w:eastAsia="Arial" w:hAnsi="Arial"/>
      <w:b/>
      <w:bCs/>
      <w:color w:val="2B3D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2026-03-02T03:17:11.505Z</dcterms:created>
  <dcterms:modified xsi:type="dcterms:W3CDTF">2026-03-02T03:17:11.506Z</dcterms:modified>
</cp:coreProperties>
</file>

<file path=docProps/custom.xml><?xml version="1.0" encoding="utf-8"?>
<Properties xmlns="http://schemas.openxmlformats.org/officeDocument/2006/custom-properties" xmlns:vt="http://schemas.openxmlformats.org/officeDocument/2006/docPropsVTypes"/>
</file>