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2B3D4F"/>
          <w:sz w:val="36"/>
          <w:szCs w:val="36"/>
        </w:rPr>
        <w:t xml:space="preserve">OFFICER MISCONDUCT TIMELINE</w:t>
      </w:r>
    </w:p>
    <w:p>
      <w:pPr>
        <w:spacing w:after="60"/>
        <w:jc w:val="center"/>
      </w:pPr>
      <w:r>
        <w:rPr>
          <w:rFonts w:ascii="Arial" w:cs="Arial" w:eastAsia="Arial" w:hAnsi="Arial"/>
          <w:color w:val="555555"/>
          <w:sz w:val="26"/>
          <w:szCs w:val="26"/>
        </w:rPr>
        <w:t xml:space="preserve">Corporal D. Moll &amp; Corporal Nicholas Blanton</w:t>
      </w:r>
    </w:p>
    <w:p>
      <w:pPr>
        <w:spacing w:after="40"/>
        <w:jc w:val="center"/>
      </w:pPr>
      <w:r>
        <w:rPr>
          <w:rFonts w:ascii="Arial" w:cs="Arial" w:eastAsia="Arial" w:hAnsi="Arial"/>
          <w:color w:val="555555"/>
          <w:sz w:val="22"/>
          <w:szCs w:val="22"/>
        </w:rPr>
        <w:t xml:space="preserve">Lake County Sheriff’s Department</w:t>
      </w:r>
    </w:p>
    <w:p>
      <w:pPr>
        <w:spacing w:after="60"/>
        <w:jc w:val="center"/>
      </w:pPr>
      <w:r>
        <w:rPr>
          <w:rFonts w:ascii="Arial" w:cs="Arial" w:eastAsia="Arial" w:hAnsi="Arial"/>
          <w:color w:val="555555"/>
          <w:sz w:val="22"/>
          <w:szCs w:val="22"/>
        </w:rPr>
        <w:t xml:space="preserve">Property: 39360 MT HWY 83, Bigfork, Montana 59911</w:t>
      </w:r>
    </w:p>
    <w:p>
      <w:pPr>
        <w:spacing w:after="300"/>
        <w:jc w:val="center"/>
      </w:pPr>
      <w:r>
        <w:rPr>
          <w:rFonts w:ascii="Arial" w:cs="Arial" w:eastAsia="Arial" w:hAnsi="Arial"/>
          <w:color w:val="888888"/>
          <w:sz w:val="20"/>
          <w:szCs w:val="20"/>
        </w:rPr>
        <w:t xml:space="preserve">Prepared by Bryan Runyan — March 2026</w:t>
      </w:r>
    </w:p>
    <w:p>
      <w:pPr>
        <w:pStyle w:val="Heading1"/>
      </w:pPr>
      <w:r>
        <w:t xml:space="preserve">THE CORE FAILURE</w:t>
      </w:r>
    </w:p>
    <w:p>
      <w:pPr>
        <w:spacing w:after="120"/>
      </w:pPr>
      <w:r>
        <w:t xml:space="preserve">MCA § 70-24-113 (SB101) requires law enforcement to </w:t>
      </w:r>
      <w:r>
        <w:rPr>
          <w:b/>
          <w:bCs/>
          <w:i/>
          <w:iCs/>
        </w:rPr>
        <w:t xml:space="preserve">verify</w:t>
      </w:r>
      <w:r>
        <w:t xml:space="preserve"> verbal authorization with the property owner before making a tenancy determination. It also provides that any person who cannot produce authorization may be removed immediately.</w:t>
      </w:r>
    </w:p>
    <w:p>
      <w:pPr>
        <w:spacing w:after="200"/>
      </w:pPr>
      <w:r>
        <w:rPr>
          <w:b/>
          <w:bCs/>
        </w:rPr>
        <w:t xml:space="preserve">Neither Corporal Moll nor Corporal Blanton ever verified.</w:t>
      </w:r>
      <w:r>
        <w:t xml:space="preserve"> Their unverified determinations decided the rights of multiple property owners, forced a disabled woman into a civil lawsuit she lost, left an entire family homeless in winter, and allowed over $250,000 in property damage to accumulate.</w:t>
      </w:r>
    </w:p>
    <w:p>
      <w:pPr>
        <w:pStyle w:val="Heading1"/>
      </w:pPr>
      <w:r>
        <w:t xml:space="preserve">CHRONOLOGICAL TIMELINE OF OFFICER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400"/>
        <w:gridCol w:w="2400"/>
        <w:gridCol w:w="2200"/>
        <w:gridCol w:w="2060"/>
      </w:tblGrid>
      <w:tr>
        <w:tc>
          <w:tcPr>
            <w:tcW w:type="dxa" w:w="1300"/>
            <w:tcBorders>
              <w:top w:val="single" w:color="999999" w:sz="1"/>
              <w:left w:val="single" w:color="999999" w:sz="1"/>
              <w:bottom w:val="single" w:color="999999" w:sz="1"/>
              <w:right w:val="single" w:color="999999" w:sz="1"/>
            </w:tcBorders>
            <w:shd w:fill="2B3D4F"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1400"/>
            <w:tcBorders>
              <w:top w:val="single" w:color="999999" w:sz="1"/>
              <w:left w:val="single" w:color="999999" w:sz="1"/>
              <w:bottom w:val="single" w:color="999999" w:sz="1"/>
              <w:right w:val="single" w:color="999999" w:sz="1"/>
            </w:tcBorders>
            <w:shd w:fill="2B3D4F" w:val="clear"/>
            <w:tcMar>
              <w:top w:type="dxa" w:w="80"/>
              <w:left w:type="dxa" w:w="120"/>
              <w:bottom w:type="dxa" w:w="80"/>
              <w:right w:type="dxa" w:w="120"/>
            </w:tcMar>
          </w:tcPr>
          <w:p>
            <w:r>
              <w:rPr>
                <w:rFonts w:ascii="Arial" w:cs="Arial" w:eastAsia="Arial" w:hAnsi="Arial"/>
                <w:b/>
                <w:bCs/>
                <w:color w:val="FFFFFF"/>
                <w:sz w:val="20"/>
                <w:szCs w:val="20"/>
              </w:rPr>
              <w:t xml:space="preserve">OFFICER</w:t>
            </w:r>
          </w:p>
        </w:tc>
        <w:tc>
          <w:tcPr>
            <w:tcW w:type="dxa" w:w="2400"/>
            <w:tcBorders>
              <w:top w:val="single" w:color="999999" w:sz="1"/>
              <w:left w:val="single" w:color="999999" w:sz="1"/>
              <w:bottom w:val="single" w:color="999999" w:sz="1"/>
              <w:right w:val="single" w:color="999999" w:sz="1"/>
            </w:tcBorders>
            <w:shd w:fill="2B3D4F" w:val="clear"/>
            <w:tcMar>
              <w:top w:type="dxa" w:w="80"/>
              <w:left w:type="dxa" w:w="120"/>
              <w:bottom w:type="dxa" w:w="80"/>
              <w:right w:type="dxa" w:w="120"/>
            </w:tcMar>
          </w:tcPr>
          <w:p>
            <w:r>
              <w:rPr>
                <w:rFonts w:ascii="Arial" w:cs="Arial" w:eastAsia="Arial" w:hAnsi="Arial"/>
                <w:b/>
                <w:bCs/>
                <w:color w:val="FFFFFF"/>
                <w:sz w:val="20"/>
                <w:szCs w:val="20"/>
              </w:rPr>
              <w:t xml:space="preserve">ACTION TAKEN</w:t>
            </w:r>
          </w:p>
        </w:tc>
        <w:tc>
          <w:tcPr>
            <w:tcW w:type="dxa" w:w="2200"/>
            <w:tcBorders>
              <w:top w:val="single" w:color="999999" w:sz="1"/>
              <w:left w:val="single" w:color="999999" w:sz="1"/>
              <w:bottom w:val="single" w:color="999999" w:sz="1"/>
              <w:right w:val="single" w:color="999999" w:sz="1"/>
            </w:tcBorders>
            <w:shd w:fill="2B3D4F" w:val="clear"/>
            <w:tcMar>
              <w:top w:type="dxa" w:w="80"/>
              <w:left w:type="dxa" w:w="120"/>
              <w:bottom w:type="dxa" w:w="80"/>
              <w:right w:type="dxa" w:w="120"/>
            </w:tcMar>
          </w:tcPr>
          <w:p>
            <w:r>
              <w:rPr>
                <w:rFonts w:ascii="Arial" w:cs="Arial" w:eastAsia="Arial" w:hAnsi="Arial"/>
                <w:b/>
                <w:bCs/>
                <w:color w:val="FFFFFF"/>
                <w:sz w:val="20"/>
                <w:szCs w:val="20"/>
              </w:rPr>
              <w:t xml:space="preserve">FAILURE</w:t>
            </w:r>
          </w:p>
        </w:tc>
        <w:tc>
          <w:tcPr>
            <w:tcW w:type="dxa" w:w="2060"/>
            <w:tcBorders>
              <w:top w:val="single" w:color="999999" w:sz="1"/>
              <w:left w:val="single" w:color="999999" w:sz="1"/>
              <w:bottom w:val="single" w:color="999999" w:sz="1"/>
              <w:right w:val="single" w:color="999999" w:sz="1"/>
            </w:tcBorders>
            <w:shd w:fill="2B3D4F" w:val="clear"/>
            <w:tcMar>
              <w:top w:type="dxa" w:w="80"/>
              <w:left w:type="dxa" w:w="120"/>
              <w:bottom w:type="dxa" w:w="80"/>
              <w:right w:type="dxa" w:w="120"/>
            </w:tcMar>
          </w:tcPr>
          <w:p>
            <w:r>
              <w:rPr>
                <w:rFonts w:ascii="Arial" w:cs="Arial" w:eastAsia="Arial" w:hAnsi="Arial"/>
                <w:b/>
                <w:bCs/>
                <w:color w:val="FFFFFF"/>
                <w:sz w:val="20"/>
                <w:szCs w:val="20"/>
              </w:rPr>
              <w:t xml:space="preserve">CONSEQUENCE</w:t>
            </w:r>
          </w:p>
        </w:tc>
      </w:tr>
      <w:tr>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Dec 2, 2025</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Cpl. D. Moll</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Responded to Julie Robertson’s call reporting unauthorized occupants on her property.</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Failed to contact Chris Robertson to verify Josh Ochoa’s claimed verbal agreement as required by MCA § 70-24-113(3).</w:t>
            </w:r>
          </w:p>
        </w:tc>
        <w:tc>
          <w:tcPr>
            <w:tcW w:type="dxa" w:w="20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Julie Robertson trespassed from her own home. Told to pursue civil eviction.</w:t>
            </w:r>
          </w:p>
        </w:tc>
      </w:tr>
      <w:tr>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Dec 2, 2025</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Cpl. D. Moll</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Accepted occupant’s unverified claim of tenancy at face value.</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Did not review text messages showing permission was limited to inspection. Did not review evidence showing negotiations were never finalized.</w:t>
            </w:r>
          </w:p>
        </w:tc>
        <w:tc>
          <w:tcPr>
            <w:tcW w:type="dxa" w:w="20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Occupant given de facto control of property, vehicles, and personal belongings of multiple owners.</w:t>
            </w:r>
          </w:p>
        </w:tc>
      </w:tr>
      <w:tr>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Dec 2, 2025</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Cpl. D. Moll</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Classified situation as “civil matter.”</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Failed to apply SB101 which was enacted specifically for this type of situation. Occupant could not produce written authorization.</w:t>
            </w:r>
          </w:p>
        </w:tc>
        <w:tc>
          <w:tcPr>
            <w:tcW w:type="dxa" w:w="20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Julie forced into Justice Court pro se. Unable to present argument. Default judgment entered against her Jan 27, 2026.</w:t>
            </w:r>
          </w:p>
        </w:tc>
      </w:tr>
      <w:tr>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Dec 9, 2025</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Cpl. N. Blanton</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Responded to scene. Lexi Robertson (titled owner of mobile home trailer, VIN: GDMASD3977-2446) present attempting to reinstall her wood heater.</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Failed to verify Lexi’s ownership of the trailer. Titled property — ownership easily confirmed.</w:t>
            </w:r>
          </w:p>
        </w:tc>
        <w:tc>
          <w:tcPr>
            <w:tcW w:type="dxa" w:w="20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Lexi and family ordered to leave. Trespassed from her own titled property.</w:t>
            </w:r>
          </w:p>
        </w:tc>
      </w:tr>
      <w:tr>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Dec 9, 2025</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Cpl. N. Blanton</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Determined dispute was a “misunderstanding” regarding tenancy.</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Lexi had no tenancy dispute. She owned the trailer outright. Blanton conflated the house tenancy situation with Lexi’s separate titled property.</w:t>
            </w:r>
          </w:p>
        </w:tc>
        <w:tc>
          <w:tcPr>
            <w:tcW w:type="dxa" w:w="20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Lexi’s family remained homeless. Eventually forced to flee the state. Required a court motion to access her own property.</w:t>
            </w:r>
          </w:p>
        </w:tc>
      </w:tr>
      <w:tr>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Jan 27, 2026</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N/A (Result)</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Default Judgment entered in CV-495-2025-0000590-LT. Occupants granted right to remain until September 2026.</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This outcome is a direct result of Moll’s Dec 2 failure to verify. Julie was forced into a process she was not equipped to handle.</w:t>
            </w:r>
          </w:p>
        </w:tc>
        <w:tc>
          <w:tcPr>
            <w:tcW w:type="dxa" w:w="20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Julie loses her home for 10+ months. Occupiers continue to hold all property, vehicles, disability equipment.</w:t>
            </w:r>
          </w:p>
        </w:tc>
      </w:tr>
      <w:tr>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Jan 28–31, 2026</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N/A (Correspondence)</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Bryan Runyan emails county officials, Undersheriff Woods, and County Attorney Lapotka citing MCA § 70-24-113(3) and failure to verify.</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Undersheriff Woods responds with voicemail excerpt but acknowledges verification was never done. Lapotka acknowledges awareness of SB101.</w:t>
            </w:r>
          </w:p>
        </w:tc>
        <w:tc>
          <w:tcPr>
            <w:tcW w:type="dxa" w:w="20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Criminal complaint filed Jan 31. No corrective action taken regarding officer conduct.</w:t>
            </w:r>
          </w:p>
        </w:tc>
      </w:tr>
      <w:tr>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Feb 20, 2026 ~4:00 PM</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Cpl. N. Blanton</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Told Lexi Robertson’s authorized agent they had no right to inspect Lexi’s trailer.</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False statement. Lexi is the titled owner. Her agent had every legal right to inspect her property.</w:t>
            </w:r>
          </w:p>
        </w:tc>
        <w:tc>
          <w:tcPr>
            <w:tcW w:type="dxa" w:w="20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Agent denied access to titled property.</w:t>
            </w:r>
          </w:p>
        </w:tc>
      </w:tr>
      <w:tr>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Feb 20, 2026 ~4:00 PM</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Cpl. N. Blanton</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Told Karen Runyan she could not secure Lexi’s trailer and that he (Blanton) would do it.</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By assuming the duty to secure the property, Blanton took on the responsibility to do it properly. He then prevented the owners from doing it themselves.</w:t>
            </w:r>
          </w:p>
        </w:tc>
        <w:tc>
          <w:tcPr>
            <w:tcW w:type="dxa" w:w="20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Property owners denied the ability to protect their own property.</w:t>
            </w:r>
          </w:p>
        </w:tc>
      </w:tr>
      <w:tr>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Feb 20, 2026 ~4:00 PM</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Cpl. N. Blanton</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Attempted to secure the property himself.</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Failed to secure the back door. Left the rear entrance accessible to unauthorized occupants.</w:t>
            </w:r>
          </w:p>
        </w:tc>
        <w:tc>
          <w:tcPr>
            <w:tcW w:type="dxa" w:w="20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Occupiers retained access through the back door. Property remains unsecured.</w:t>
            </w:r>
          </w:p>
        </w:tc>
      </w:tr>
      <w:tr>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Feb 20, 2026 ~4:00 PM</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Cpl. N. Blanton</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Was responsible for completing a safety walkthrough of Lexi’s trailer.</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Failed to complete the walkthrough.</w:t>
            </w:r>
          </w:p>
        </w:tc>
        <w:tc>
          <w:tcPr>
            <w:tcW w:type="dxa" w:w="20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Property owners left without knowledge of interior condition, additional damage, theft, or safety hazards.</w:t>
            </w:r>
          </w:p>
        </w:tc>
      </w:tr>
    </w:tbl>
    <w:p>
      <w:pPr>
        <w:pStyle w:val="Heading1"/>
      </w:pPr>
      <w:r>
        <w:t xml:space="preserve">PATTERN OF CONDUCT</w:t>
      </w:r>
    </w:p>
    <w:p>
      <w:pPr>
        <w:pStyle w:val="Heading2"/>
      </w:pPr>
      <w:r>
        <w:t xml:space="preserve">Corporal D. Moll</w:t>
      </w:r>
    </w:p>
    <w:p>
      <w:pPr>
        <w:pStyle w:val="ListParagraph"/>
        <w:numPr>
          <w:ilvl w:val="0"/>
          <w:numId w:val="2"/>
        </w:numPr>
        <w:spacing w:after="80"/>
      </w:pPr>
      <w:r>
        <w:t xml:space="preserve">Single incident: December 2, 2025</w:t>
      </w:r>
    </w:p>
    <w:p>
      <w:pPr>
        <w:pStyle w:val="ListParagraph"/>
        <w:numPr>
          <w:ilvl w:val="0"/>
          <w:numId w:val="2"/>
        </w:numPr>
        <w:spacing w:after="80"/>
      </w:pPr>
      <w:r>
        <w:t xml:space="preserve">Failed to perform the verification required by MCA § 70-24-113(3)</w:t>
      </w:r>
    </w:p>
    <w:p>
      <w:pPr>
        <w:pStyle w:val="ListParagraph"/>
        <w:numPr>
          <w:ilvl w:val="0"/>
          <w:numId w:val="2"/>
        </w:numPr>
        <w:spacing w:after="80"/>
      </w:pPr>
      <w:r>
        <w:t xml:space="preserve">His single failure set off a chain of events that resulted in a disabled property owner losing her home through a civil process that should never have been necessary</w:t>
      </w:r>
    </w:p>
    <w:p>
      <w:pPr>
        <w:pStyle w:val="ListParagraph"/>
        <w:numPr>
          <w:ilvl w:val="0"/>
          <w:numId w:val="2"/>
        </w:numPr>
        <w:spacing w:after="200"/>
      </w:pPr>
      <w:r>
        <w:t xml:space="preserve">To this day, no officer of the Lake County Sheriff’s Department has verified the alleged agreement with Chris Robertson</w:t>
      </w:r>
    </w:p>
    <w:p>
      <w:pPr>
        <w:pStyle w:val="Heading2"/>
      </w:pPr>
      <w:r>
        <w:t xml:space="preserve">Corporal Nicholas Blanton</w:t>
      </w:r>
    </w:p>
    <w:p>
      <w:pPr>
        <w:pStyle w:val="ListParagraph"/>
        <w:numPr>
          <w:ilvl w:val="0"/>
          <w:numId w:val="2"/>
        </w:numPr>
        <w:spacing w:after="80"/>
      </w:pPr>
      <w:r>
        <w:t xml:space="preserve">Two incidents: December 9, 2025 and February 20, 2026</w:t>
      </w:r>
    </w:p>
    <w:p>
      <w:pPr>
        <w:pStyle w:val="ListParagraph"/>
        <w:numPr>
          <w:ilvl w:val="0"/>
          <w:numId w:val="2"/>
        </w:numPr>
        <w:spacing w:after="80"/>
      </w:pPr>
      <w:r>
        <w:t xml:space="preserve">Demonstrates a repeating pattern of denying property owners their rights to titled property</w:t>
      </w:r>
    </w:p>
    <w:p>
      <w:pPr>
        <w:pStyle w:val="ListParagraph"/>
        <w:numPr>
          <w:ilvl w:val="0"/>
          <w:numId w:val="2"/>
        </w:numPr>
        <w:spacing w:after="80"/>
      </w:pPr>
      <w:r>
        <w:t xml:space="preserve">Made false statements to Lexi’s agent about their right to inspect titled property</w:t>
      </w:r>
    </w:p>
    <w:p>
      <w:pPr>
        <w:pStyle w:val="ListParagraph"/>
        <w:numPr>
          <w:ilvl w:val="0"/>
          <w:numId w:val="2"/>
        </w:numPr>
        <w:spacing w:after="80"/>
      </w:pPr>
      <w:r>
        <w:t xml:space="preserve">Prevented property owners from securing their own property, assumed the duty himself, then failed to perform it</w:t>
      </w:r>
    </w:p>
    <w:p>
      <w:pPr>
        <w:pStyle w:val="ListParagraph"/>
        <w:numPr>
          <w:ilvl w:val="0"/>
          <w:numId w:val="2"/>
        </w:numPr>
        <w:spacing w:after="80"/>
      </w:pPr>
      <w:r>
        <w:t xml:space="preserve">Failed to complete a safety walkthrough</w:t>
      </w:r>
    </w:p>
    <w:p>
      <w:pPr>
        <w:pStyle w:val="ListParagraph"/>
        <w:numPr>
          <w:ilvl w:val="0"/>
          <w:numId w:val="2"/>
        </w:numPr>
        <w:spacing w:after="200"/>
      </w:pPr>
      <w:r>
        <w:t xml:space="preserve">Over two months passed between incidents with no change in conduct despite intervening correspondence, court proceedings, and criminal complaints</w:t>
      </w:r>
    </w:p>
    <w:p>
      <w:pPr>
        <w:pStyle w:val="Heading1"/>
      </w:pPr>
      <w:r>
        <w:t xml:space="preserve">WHAT SHOULD HAVE HAPPENED</w:t>
      </w:r>
    </w:p>
    <w:p>
      <w:pPr>
        <w:spacing w:after="200"/>
      </w:pPr>
      <w:r>
        <w:rPr>
          <w:b/>
          <w:bCs/>
        </w:rPr>
        <w:t xml:space="preserve">December 2, 2025: </w:t>
      </w:r>
      <w:r>
        <w:t xml:space="preserve">Corporal Moll should have contacted Chris Robertson to verify the alleged verbal agreement. Chris would have confirmed that no agreement existed — only failed negotiations. Under MCA § 70-24-113, Moll should have then removed Josh Ochoa as an unauthorized person. Julie Robertson would have regained her home that day. There would have been no civil lawsuit, no default judgment, no homelessness, and significantly less property damage.</w:t>
      </w:r>
    </w:p>
    <w:p>
      <w:pPr>
        <w:spacing w:after="200"/>
      </w:pPr>
      <w:r>
        <w:rPr>
          <w:b/>
          <w:bCs/>
        </w:rPr>
        <w:t xml:space="preserve">December 9, 2025: </w:t>
      </w:r>
      <w:r>
        <w:t xml:space="preserve">Corporal Blanton should have verified Lexi Robertson’s ownership of the mobile home trailer. Title records would have confirmed she was the owner. Blanton should have assisted Lexi in accessing her own property, not ordered her to leave. Lexi would have been able to install her heater and live in her own trailer instead of sleeping in a truck.</w:t>
      </w:r>
    </w:p>
    <w:p>
      <w:pPr>
        <w:spacing w:after="200"/>
      </w:pPr>
      <w:r>
        <w:rPr>
          <w:b/>
          <w:bCs/>
        </w:rPr>
        <w:t xml:space="preserve">February 20, 2026: </w:t>
      </w:r>
      <w:r>
        <w:t xml:space="preserve">Corporal Blanton should have allowed Lexi’s agent to inspect the trailer and allowed Karen Runyan to secure it. If he insisted on handling security himself, he should have secured the entire property including the back door and completed the safety walkthrough. He should not have made false statements about the agent’s right to inspect titled property.</w:t>
      </w:r>
    </w:p>
    <w:p>
      <w:pPr>
        <w:pStyle w:val="Heading1"/>
      </w:pPr>
      <w:r>
        <w:t xml:space="preserve">CUMULATIVE HARM FROM OFFICER FAILURES</w:t>
      </w:r>
    </w:p>
    <w:p>
      <w:pPr>
        <w:pStyle w:val="ListParagraph"/>
        <w:numPr>
          <w:ilvl w:val="0"/>
          <w:numId w:val="2"/>
        </w:numPr>
        <w:spacing w:after="80"/>
      </w:pPr>
      <w:r>
        <w:t xml:space="preserve">Julie Robertson (disabled) — lost her home, disability equipment, vehicles, personal property; forced to flee to Tennessee; forced into civil litigation pro se; default judgment entered against her</w:t>
      </w:r>
    </w:p>
    <w:p>
      <w:pPr>
        <w:pStyle w:val="ListParagraph"/>
        <w:numPr>
          <w:ilvl w:val="0"/>
          <w:numId w:val="2"/>
        </w:numPr>
        <w:spacing w:after="80"/>
      </w:pPr>
      <w:r>
        <w:t xml:space="preserve">Lexi Robertson — trespassed from her own titled trailer; forced to obtain court motion to access property; homeless with family sleeping in truck</w:t>
      </w:r>
    </w:p>
    <w:p>
      <w:pPr>
        <w:pStyle w:val="ListParagraph"/>
        <w:numPr>
          <w:ilvl w:val="0"/>
          <w:numId w:val="2"/>
        </w:numPr>
        <w:spacing w:after="80"/>
      </w:pPr>
      <w:r>
        <w:t xml:space="preserve">Chris Robertson — property owner denied access to his own home and vehicles</w:t>
      </w:r>
    </w:p>
    <w:p>
      <w:pPr>
        <w:pStyle w:val="ListParagraph"/>
        <w:numPr>
          <w:ilvl w:val="0"/>
          <w:numId w:val="2"/>
        </w:numPr>
        <w:spacing w:after="80"/>
      </w:pPr>
      <w:r>
        <w:t xml:space="preserve">Bryan &amp; Karen Runyan — personal property stolen/denied ($2,000+); tools, wedding dress, stained glass equipment</w:t>
      </w:r>
    </w:p>
    <w:p>
      <w:pPr>
        <w:pStyle w:val="ListParagraph"/>
        <w:numPr>
          <w:ilvl w:val="0"/>
          <w:numId w:val="2"/>
        </w:numPr>
        <w:spacing w:after="80"/>
      </w:pPr>
      <w:r>
        <w:t xml:space="preserve">Multiple additional family members (Tasha Walker, Glendale Sharp, Teri Smith, Justin Smith) — property stolen or denied</w:t>
      </w:r>
    </w:p>
    <w:p>
      <w:pPr>
        <w:pStyle w:val="ListParagraph"/>
        <w:numPr>
          <w:ilvl w:val="0"/>
          <w:numId w:val="2"/>
        </w:numPr>
        <w:spacing w:after="80"/>
      </w:pPr>
      <w:r>
        <w:t xml:space="preserve">Total documented property damage and loss: $250,000+</w:t>
      </w:r>
    </w:p>
    <w:p>
      <w:pPr>
        <w:pStyle w:val="ListParagraph"/>
        <w:numPr>
          <w:ilvl w:val="0"/>
          <w:numId w:val="2"/>
        </w:numPr>
        <w:spacing w:after="80"/>
      </w:pPr>
      <w:r>
        <w:t xml:space="preserve">Electrical usage indicating possible fire hazard or illegal activity — safety concern reported but not addressed</w:t>
      </w:r>
    </w:p>
    <w:p>
      <w:pPr>
        <w:pStyle w:val="ListParagraph"/>
        <w:numPr>
          <w:ilvl w:val="0"/>
          <w:numId w:val="2"/>
        </w:numPr>
        <w:spacing w:after="200"/>
      </w:pPr>
      <w:r>
        <w:rPr>
          <w:b/>
          <w:bCs/>
        </w:rPr>
        <w:t xml:space="preserve">All of this harm flows from the officers’ failure to verify on December 2, 2025, and the continuing pattern of failure that followed.</w:t>
      </w:r>
    </w:p>
    <w:p>
      <w:pPr>
        <w:pStyle w:val="Heading1"/>
      </w:pPr>
      <w:r>
        <w:t xml:space="preserve">THE QUESTION</w:t>
      </w:r>
    </w:p>
    <w:p>
      <w:pPr>
        <w:spacing w:after="200"/>
      </w:pPr>
      <w:r>
        <w:rPr>
          <w:i/>
          <w:iCs/>
          <w:sz w:val="26"/>
          <w:szCs w:val="26"/>
        </w:rPr>
        <w:t xml:space="preserve">If Corporal Moll and Corporal Blanton cannot even be bothered to verify something as obvious as who owns a titled piece of property, what gives them the right to judge any of the evidence?</w:t>
      </w:r>
    </w:p>
    <w:p>
      <w:pPr>
        <w:spacing w:after="200"/>
      </w:pPr>
      <w:r>
        <w:t xml:space="preserve">Their unverified judgments decided the fate of an entire family. The law gave them the tools to resolve this on Day One. They chose not to use them.</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B3D4F" w:sz="6" w:space="4"/>
      </w:pBdr>
      <w:spacing w:after="120"/>
      <w:jc w:val="center"/>
    </w:pPr>
    <w:r>
      <w:rPr>
        <w:rFonts w:ascii="Arial" w:cs="Arial" w:eastAsia="Arial" w:hAnsi="Arial"/>
        <w:b/>
        <w:bCs/>
        <w:color w:val="2B3D4F"/>
        <w:sz w:val="18"/>
        <w:szCs w:val="18"/>
      </w:rPr>
      <w:t xml:space="preserve">OFFICER CONDUCT TIMELINE — LAKE COUNTY SHERIFF’S DEPARTMENT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sz w:val="32"/>
      <w:szCs w:val="32"/>
    </w:rPr>
  </w:style>
  <w:style w:type="paragraph" w:styleId="Heading2">
    <w:name w:val="Heading 2"/>
    <w:basedOn w:val="Normal"/>
    <w:next w:val="Normal"/>
    <w:qFormat/>
    <w:pPr>
      <w:spacing w:before="240" w:after="16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2026-03-02T02:52:00.930Z</dcterms:created>
  <dcterms:modified xsi:type="dcterms:W3CDTF">2026-03-02T02:52:00.931Z</dcterms:modified>
</cp:coreProperties>
</file>

<file path=docProps/custom.xml><?xml version="1.0" encoding="utf-8"?>
<Properties xmlns="http://schemas.openxmlformats.org/officeDocument/2006/custom-properties" xmlns:vt="http://schemas.openxmlformats.org/officeDocument/2006/docPropsVTypes"/>
</file>