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Title: </w:t>
      </w:r>
      <w:r>
        <w:t xml:space="preserve">LENDERS BEWARE! Avoid Use of Trade Names in Financing Statements</w:t>
      </w:r>
    </w:p>
    <w:p>
      <w:r>
        <w:rPr>
          <w:b w:val="true"/>
          <w:bCs w:val="true"/>
        </w:rPr>
        <w:t xml:space="preserve">Subtitle: </w:t>
      </w:r>
      <w:r>
        <w:t xml:space="preserve"/>
      </w:r>
    </w:p>
    <w:p>
      <w:r>
        <w:rPr>
          <w:b w:val="true"/>
          <w:bCs w:val="true"/>
        </w:rPr>
        <w:t xml:space="preserve">Meta Description: </w:t>
      </w:r>
      <w:r>
        <w:t xml:space="preserve">LENDERS BEWARE! Avoid Use of Trade Names in Financing Statements</w:t>
      </w:r>
    </w:p>
    <w:p>
      <w:r>
        <w:rPr>
          <w:b w:val="true"/>
          <w:bCs w:val="true"/>
        </w:rPr>
        <w:t xml:space="preserve">Date: </w:t>
      </w:r>
      <w:r>
        <w:t xml:space="preserve">10-5-2011</w:t>
      </w:r>
    </w:p>
    <w:p>
      <w:r>
        <w:rPr>
          <w:b w:val="true"/>
          <w:bCs w:val="true"/>
        </w:rPr>
        <w:t xml:space="preserve">Author: </w:t>
      </w:r>
      <w:r>
        <w:t xml:space="preserve">Joel R. Glucksman</w:t>
      </w:r>
    </w:p>
    <w:p>
      <w:r>
        <w:rPr>
          <w:b w:val="true"/>
          <w:bCs w:val="true"/>
        </w:rPr>
        <w:t xml:space="preserve">Formatted Content: </w:t>
      </w:r>
    </w:p>
    <w:p>
      <w:r>
        <w:rPr>
          <w:b w:val="true"/>
          <w:bCs w:val="true"/>
        </w:rPr>
        <w:t xml:space="preserve">Raw Content: </w:t>
      </w:r>
      <w:r>
        <w:t xml:space="preserve">&lt;div dir="ltr" style="text-align: left;"&gt;
&lt;div style="margin-bottom: 0px; margin-top: 0px; text-align: justify;"&gt;&lt;span style="font-family: Georgia, 'Times New Roman', serif;"&gt;&lt;span class="Apple-style-span"&gt;A recent federal court appellate ruling has stripped a bank of its liens, even though the bank properly listed its borrower's full corporate name in the UCC-1 financing statement.  The problem was that the bank also included the borrower's &lt;/span&gt;&lt;span style="text-align: justify; text-decoration: underline;"&gt;trade name&lt;/span&gt;&lt;span class="Apple-style-span" style="text-align: justify;"&gt; in the same box. &lt;/span&gt;&lt;/span&gt;&lt;/div&gt;
&lt;div style="margin: 0pt; text-align: justify;"&gt;&lt;span style="font-family: Georgia, 'Times New Roman', serif;"&gt; &lt;/span&gt;&lt;/div&gt;
&lt;div style="margin: 0pt; text-align: justify;"&gt;&lt;span style="font-family: Georgia, 'Times New Roman', serif;"&gt;In &lt;span style="text-decoration: underline;"&gt;Hastings State Bank v. Stalnaker (In re EDM Corp.)&lt;/span&gt;, borrower was incorporated as "EDM Corporation" and commonly known as "EDM Equipment."  Bank #1 gave EDM a loan and filed a UCC-1 financing statement under "EDM Corporation d/b/a EDM Equipment." &lt;/span&gt;&lt;/div&gt;
&lt;div style="margin: 0pt; text-align: justify;"&gt;&lt;span style="font-family: Georgia, 'Times New Roman', serif;"&gt; &lt;/span&gt;&lt;/div&gt;
&lt;div style="margin: 0pt; text-align: justify;"&gt;&lt;span style="font-family: Georgia, 'Times New Roman', serif;"&gt;Bank #2 then extended credit to EDM, having first run a UCC search which did not reveal Bank #1's financing statement.  The standard search logic used by the Secretary of State's office did not identify "EDM Corporation d/b/a EDM Equipment" as being the same entity as "EDM Corporation." &lt;/span&gt;&lt;/div&gt;
&lt;div style="margin: 0pt; text-align: justify;"&gt;&lt;span style="font-family: Georgia, 'Times New Roman', serif;"&gt; &lt;/span&gt;&lt;/div&gt;
&lt;div style="margin: 0pt; text-align: justify;"&gt;&lt;span style="font-family: Georgia, 'Times New Roman', serif;"&gt;Under revised Article 9, UCC-1 financing statement data is entered and indexed based on the &lt;span style="text-decoration: underline;"&gt;exact&lt;/span&gt; name listed in the financing statement box for the borrower's name.  Article 9-503 further requires that the borrower's name in the UCC-1 be exactly as listed in the public records of the borrower's place of organization.  The court interpreted this to mean that trade or other names may be added to the UCC-1 box for other or additional names &lt;span style="text-decoration: underline;"&gt;but not used in the box requiring the borrower's name&lt;/span&gt;.&lt;/span&gt;&lt;/div&gt;
&lt;div style="margin: 0pt; text-align: justify;"&gt;&lt;span style="font-family: Georgia, 'Times New Roman', serif;"&gt; &lt;/span&gt;&lt;/div&gt;
&lt;div style="margin: 0pt; text-align: justify;"&gt;&lt;span style="font-family: Georgia, 'Times New Roman', serif;"&gt;In the &lt;span style="text-decoration: underline;"&gt;EDM&lt;/span&gt; case, Bank #1's UCC-1 had added such superfluous information to the name box.  The court therefore held Bank #1's lien improperly perfected.  Bank #2's lien was accordingly given first priority in the collateral.&lt;/span&gt;&lt;/div&gt;
&lt;div style="margin: 0pt; text-align: justify;"&gt;&lt;span style="font-family: Georgia, 'Times New Roman', serif;"&gt; &lt;/span&gt;&lt;/div&gt;
&lt;div style="margin: 0pt; text-align: justify;"&gt;&lt;span style="font-family: Georgia, 'Times New Roman', serif;"&gt;Perfecting liens under Revised Article 9 of the Uniform Commercial Code can be a minefield.  Contact your counsel if you have any questions.&lt;/span&gt;&lt;/div&gt;
&lt;div style="margin-bottom: 0px; margin-top: 0px; text-align: justify;"&gt;&lt;/div&gt;
&lt;div style="margin-bottom: 0px; margin-top: 0px; text-align: justify;"&gt;&lt;span style="font-family: Georgia, 'Times New Roman', serif;"&gt; &lt;/span&gt;&lt;/div&gt;
&lt;/div&gt;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2021-03-16T12:31:34Z</dcterms:created>
  <dcterms:modified xsi:type="dcterms:W3CDTF">2021-03-16T12:31:34Z</dcterms:modified>
</cp:coreProperties>
</file>