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niKinarrCWImN9/5mIdr2oy6Wg==">CgMxLjA4AHIhMUlXbHdLS3RWSHplSjRxb1gtNFc4Q3gwRVYwUmxKUUhj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