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791C8" w14:textId="77777777" w:rsidR="000D54FE" w:rsidRDefault="00DC6D1A">
      <w:pPr>
        <w:jc w:val="center"/>
      </w:pPr>
      <w:r>
        <w:rPr>
          <w:b/>
          <w:color w:val="1F4E79"/>
          <w:sz w:val="32"/>
        </w:rPr>
        <w:t>Early Prediction of Intensive-Care Length of Stay from the First 24 Hours: A Prospective Comparison of Machine Learning with Senior-Physician Judgement</w:t>
      </w:r>
    </w:p>
    <w:p w14:paraId="020095FA" w14:textId="096A8B9F" w:rsidR="000D54FE" w:rsidRPr="0063163B" w:rsidRDefault="0063163B" w:rsidP="00A33ACA">
      <w:pPr>
        <w:rPr>
          <w:rFonts w:ascii="Times New Roman" w:hAnsi="Times New Roman" w:cs="Times New Roman"/>
          <w:vertAlign w:val="superscript"/>
        </w:rPr>
      </w:pPr>
      <w:r w:rsidRPr="0063163B">
        <w:rPr>
          <w:b/>
          <w:bCs/>
          <w:sz w:val="20"/>
          <w:highlight w:val="yellow"/>
        </w:rPr>
        <w:t>TBD:</w:t>
      </w:r>
      <w:r w:rsidRPr="0063163B">
        <w:rPr>
          <w:sz w:val="20"/>
        </w:rPr>
        <w:t xml:space="preserve"> </w:t>
      </w:r>
      <w:r w:rsidR="00DC6D1A" w:rsidRPr="0063163B">
        <w:rPr>
          <w:sz w:val="20"/>
        </w:rPr>
        <w:t xml:space="preserve">Authors: </w:t>
      </w:r>
      <w:r w:rsidR="00674630" w:rsidRPr="0063163B">
        <w:rPr>
          <w:rFonts w:ascii="Times New Roman" w:hAnsi="Times New Roman" w:cs="Times New Roman"/>
        </w:rPr>
        <w:t>Alexander Althammer</w:t>
      </w:r>
      <w:r w:rsidRPr="0063163B">
        <w:rPr>
          <w:rFonts w:ascii="Times New Roman" w:hAnsi="Times New Roman" w:cs="Times New Roman"/>
          <w:bCs/>
          <w:vertAlign w:val="superscript"/>
        </w:rPr>
        <w:t>1</w:t>
      </w:r>
      <w:r w:rsidR="00A33ACA" w:rsidRPr="0063163B">
        <w:rPr>
          <w:rFonts w:ascii="Times New Roman" w:hAnsi="Times New Roman" w:cs="Times New Roman"/>
        </w:rPr>
        <w:t>, Dayasri Ravi</w:t>
      </w:r>
      <w:r w:rsidRPr="0063163B">
        <w:rPr>
          <w:rFonts w:ascii="Times New Roman" w:hAnsi="Times New Roman" w:cs="Times New Roman"/>
          <w:bCs/>
          <w:vertAlign w:val="superscript"/>
        </w:rPr>
        <w:t>2</w:t>
      </w:r>
      <w:r w:rsidR="00A33ACA" w:rsidRPr="0063163B">
        <w:rPr>
          <w:rFonts w:ascii="Times New Roman" w:hAnsi="Times New Roman" w:cs="Times New Roman"/>
        </w:rPr>
        <w:t>, Lena Schemet</w:t>
      </w:r>
      <w:r w:rsidRPr="0063163B">
        <w:rPr>
          <w:rFonts w:ascii="Times New Roman" w:hAnsi="Times New Roman" w:cs="Times New Roman"/>
          <w:bCs/>
          <w:vertAlign w:val="superscript"/>
        </w:rPr>
        <w:t>2</w:t>
      </w:r>
      <w:r w:rsidR="00A33ACA" w:rsidRPr="0063163B">
        <w:rPr>
          <w:rFonts w:ascii="Times New Roman" w:hAnsi="Times New Roman" w:cs="Times New Roman"/>
        </w:rPr>
        <w:t>,</w:t>
      </w:r>
      <w:r w:rsidRPr="0063163B">
        <w:rPr>
          <w:rFonts w:ascii="Times New Roman" w:hAnsi="Times New Roman" w:cs="Times New Roman"/>
        </w:rPr>
        <w:t xml:space="preserve"> Oliver Spring</w:t>
      </w:r>
      <w:r w:rsidRPr="0063163B">
        <w:rPr>
          <w:rFonts w:ascii="Times New Roman" w:hAnsi="Times New Roman" w:cs="Times New Roman"/>
          <w:bCs/>
          <w:vertAlign w:val="superscript"/>
        </w:rPr>
        <w:t>1</w:t>
      </w:r>
      <w:r>
        <w:rPr>
          <w:rFonts w:ascii="Times New Roman" w:hAnsi="Times New Roman" w:cs="Times New Roman"/>
        </w:rPr>
        <w:t xml:space="preserve">, </w:t>
      </w:r>
      <w:r w:rsidR="00A33ACA" w:rsidRPr="0063163B">
        <w:rPr>
          <w:rFonts w:ascii="Times New Roman" w:hAnsi="Times New Roman" w:cs="Times New Roman"/>
        </w:rPr>
        <w:t>Dominik Müller</w:t>
      </w:r>
      <w:r w:rsidRPr="0063163B">
        <w:rPr>
          <w:rFonts w:ascii="Times New Roman" w:hAnsi="Times New Roman" w:cs="Times New Roman"/>
          <w:bCs/>
          <w:vertAlign w:val="superscript"/>
        </w:rPr>
        <w:t>3</w:t>
      </w:r>
      <w:r w:rsidR="00A33ACA" w:rsidRPr="0063163B">
        <w:rPr>
          <w:rFonts w:ascii="Times New Roman" w:hAnsi="Times New Roman" w:cs="Times New Roman"/>
        </w:rPr>
        <w:t>, Sarah Friedrich-Welz</w:t>
      </w:r>
      <w:r w:rsidRPr="0063163B">
        <w:rPr>
          <w:rFonts w:ascii="Times New Roman" w:hAnsi="Times New Roman" w:cs="Times New Roman"/>
          <w:bCs/>
          <w:vertAlign w:val="superscript"/>
        </w:rPr>
        <w:t>2</w:t>
      </w:r>
      <w:r w:rsidR="00A33ACA" w:rsidRPr="0063163B">
        <w:rPr>
          <w:rFonts w:ascii="Times New Roman" w:hAnsi="Times New Roman" w:cs="Times New Roman"/>
        </w:rPr>
        <w:t>,</w:t>
      </w:r>
      <w:r w:rsidR="00A33ACA" w:rsidRPr="0063163B">
        <w:rPr>
          <w:rFonts w:ascii="Times New Roman" w:hAnsi="Times New Roman" w:cs="Times New Roman"/>
          <w:bCs/>
        </w:rPr>
        <w:t xml:space="preserve"> Axel R. Heller</w:t>
      </w:r>
      <w:r w:rsidR="00A33ACA" w:rsidRPr="0063163B">
        <w:rPr>
          <w:rFonts w:ascii="Times New Roman" w:hAnsi="Times New Roman" w:cs="Times New Roman"/>
          <w:bCs/>
          <w:vertAlign w:val="superscript"/>
        </w:rPr>
        <w:t>1</w:t>
      </w:r>
      <w:r w:rsidR="00A33ACA" w:rsidRPr="0063163B">
        <w:rPr>
          <w:rFonts w:ascii="Times New Roman" w:hAnsi="Times New Roman" w:cs="Times New Roman"/>
          <w:bCs/>
        </w:rPr>
        <w:t>,</w:t>
      </w:r>
      <w:r w:rsidR="00A33ACA" w:rsidRPr="0063163B">
        <w:rPr>
          <w:rFonts w:ascii="Times New Roman" w:hAnsi="Times New Roman" w:cs="Times New Roman"/>
        </w:rPr>
        <w:t xml:space="preserve"> Christina C. Bartenschlager</w:t>
      </w:r>
      <w:r w:rsidR="00A33ACA" w:rsidRPr="0063163B">
        <w:rPr>
          <w:rFonts w:ascii="Times New Roman" w:hAnsi="Times New Roman" w:cs="Times New Roman"/>
          <w:vertAlign w:val="superscript"/>
        </w:rPr>
        <w:t>1,</w:t>
      </w:r>
      <w:r>
        <w:rPr>
          <w:rFonts w:ascii="Times New Roman" w:hAnsi="Times New Roman" w:cs="Times New Roman"/>
          <w:vertAlign w:val="superscript"/>
        </w:rPr>
        <w:t>4</w:t>
      </w:r>
    </w:p>
    <w:p w14:paraId="6B865615" w14:textId="6D336FB7" w:rsidR="000D54FE" w:rsidRDefault="00DC6D1A">
      <w:pPr>
        <w:jc w:val="center"/>
        <w:rPr>
          <w:sz w:val="20"/>
        </w:rPr>
      </w:pPr>
      <w:r>
        <w:rPr>
          <w:sz w:val="20"/>
        </w:rPr>
        <w:t>Affiliations: [</w:t>
      </w:r>
      <w:r w:rsidR="0063163B">
        <w:rPr>
          <w:sz w:val="20"/>
        </w:rPr>
        <w:t>Bitte eintragen</w:t>
      </w:r>
      <w:r>
        <w:rPr>
          <w:sz w:val="20"/>
        </w:rPr>
        <w:t>]</w:t>
      </w:r>
    </w:p>
    <w:p w14:paraId="22904CC5" w14:textId="77777777" w:rsidR="0063163B" w:rsidRDefault="0063163B" w:rsidP="0063163B">
      <w:pPr>
        <w:rPr>
          <w:sz w:val="16"/>
          <w:szCs w:val="16"/>
        </w:rPr>
      </w:pPr>
      <w:r w:rsidRPr="006507FB">
        <w:rPr>
          <w:rFonts w:ascii="Times New Roman" w:hAnsi="Times New Roman" w:cs="Times New Roman"/>
          <w:sz w:val="16"/>
          <w:szCs w:val="16"/>
          <w:vertAlign w:val="superscript"/>
        </w:rPr>
        <w:t xml:space="preserve">1 </w:t>
      </w:r>
      <w:r w:rsidRPr="006507FB">
        <w:rPr>
          <w:sz w:val="16"/>
          <w:szCs w:val="16"/>
        </w:rPr>
        <w:t>Anesthesiology and Operative Intensive Care, University Hospital of Augsburg, Augsburg, Germany</w:t>
      </w:r>
    </w:p>
    <w:p w14:paraId="2C328BA9" w14:textId="2A249349" w:rsidR="0063163B" w:rsidRDefault="0063163B" w:rsidP="0063163B">
      <w:pPr>
        <w:rPr>
          <w:rFonts w:ascii="Times New Roman" w:hAnsi="Times New Roman" w:cs="Times New Roman"/>
          <w:bCs/>
          <w:vertAlign w:val="superscript"/>
        </w:rPr>
      </w:pPr>
      <w:r w:rsidRPr="0063163B">
        <w:rPr>
          <w:rFonts w:ascii="Times New Roman" w:hAnsi="Times New Roman" w:cs="Times New Roman"/>
          <w:bCs/>
          <w:vertAlign w:val="superscript"/>
        </w:rPr>
        <w:t>2</w:t>
      </w:r>
    </w:p>
    <w:p w14:paraId="6FD8E9CE" w14:textId="6F8E70B4" w:rsidR="0063163B" w:rsidRDefault="0063163B" w:rsidP="0063163B">
      <w:pPr>
        <w:rPr>
          <w:rFonts w:ascii="Times New Roman" w:hAnsi="Times New Roman" w:cs="Times New Roman"/>
          <w:bCs/>
          <w:vertAlign w:val="superscript"/>
        </w:rPr>
      </w:pPr>
      <w:r w:rsidRPr="0063163B">
        <w:rPr>
          <w:rFonts w:ascii="Times New Roman" w:hAnsi="Times New Roman" w:cs="Times New Roman"/>
          <w:bCs/>
          <w:vertAlign w:val="superscript"/>
        </w:rPr>
        <w:t>3</w:t>
      </w:r>
    </w:p>
    <w:p w14:paraId="4487CDC1" w14:textId="28ED43F9" w:rsidR="0063163B" w:rsidRPr="006507FB" w:rsidRDefault="0063163B" w:rsidP="0063163B">
      <w:pPr>
        <w:rPr>
          <w:sz w:val="16"/>
          <w:szCs w:val="16"/>
        </w:rPr>
      </w:pPr>
      <w:r>
        <w:rPr>
          <w:rFonts w:ascii="Times New Roman" w:hAnsi="Times New Roman" w:cs="Times New Roman"/>
          <w:vertAlign w:val="superscript"/>
        </w:rPr>
        <w:t>4</w:t>
      </w:r>
    </w:p>
    <w:p w14:paraId="24AD2C7C" w14:textId="77777777" w:rsidR="0063163B" w:rsidRDefault="0063163B">
      <w:pPr>
        <w:jc w:val="center"/>
      </w:pPr>
    </w:p>
    <w:p w14:paraId="1BA161AA" w14:textId="72F13D9F" w:rsidR="000D54FE" w:rsidRDefault="00DC6D1A">
      <w:pPr>
        <w:jc w:val="center"/>
      </w:pPr>
      <w:r>
        <w:rPr>
          <w:sz w:val="20"/>
        </w:rPr>
        <w:t xml:space="preserve">Corresponding author: </w:t>
      </w:r>
      <w:r w:rsidR="0063163B" w:rsidRPr="0054793D">
        <w:rPr>
          <w:rFonts w:ascii="Times New Roman" w:hAnsi="Times New Roman" w:cs="Times New Roman"/>
          <w:bCs/>
          <w:lang w:val="en-GB"/>
        </w:rPr>
        <w:t xml:space="preserve">Alexander Althammer, </w:t>
      </w:r>
      <w:hyperlink r:id="rId6" w:history="1">
        <w:r w:rsidR="0063163B" w:rsidRPr="004B4C9B">
          <w:rPr>
            <w:rStyle w:val="Hyperlink"/>
            <w:rFonts w:ascii="Times New Roman" w:hAnsi="Times New Roman" w:cs="Times New Roman"/>
            <w:bCs/>
            <w:lang w:val="en-GB"/>
          </w:rPr>
          <w:t>alexander.althammer@uk-augsburg.de</w:t>
        </w:r>
      </w:hyperlink>
    </w:p>
    <w:p w14:paraId="58A68973" w14:textId="77777777" w:rsidR="000D54FE" w:rsidRDefault="00DC6D1A">
      <w:pPr>
        <w:pStyle w:val="berschrift1"/>
      </w:pPr>
      <w:r>
        <w:t>Abstract</w:t>
      </w:r>
    </w:p>
    <w:p w14:paraId="7BF20E94" w14:textId="77777777" w:rsidR="0072389F" w:rsidRDefault="00DC6D1A">
      <w:pPr>
        <w:jc w:val="both"/>
      </w:pPr>
      <w:r>
        <w:rPr>
          <w:b/>
        </w:rPr>
        <w:t xml:space="preserve">Background: </w:t>
      </w:r>
      <w:r>
        <w:t xml:space="preserve">Accurate early prediction of intensive-care-unit (ICU) length of stay (LoS) supports bed management, staffing and patient flow, yet it is unclear whether machine-learning (ML) models add value over experienced clinicians. We developed an ICU-LoS model from routinely collected first-24-hour data and validated it prospectively against senior-physician estimates. </w:t>
      </w:r>
      <w:r>
        <w:rPr>
          <w:b/>
        </w:rPr>
        <w:t xml:space="preserve">Methods: </w:t>
      </w:r>
      <w:r>
        <w:t>In a single anaesthesiology-run ICU department, 12,884 completed adult ICU stays (10,875 patients) were used to develop regression models predicting LoS in days from 84 predictors captured within the first 24 h (laboratory, vital-sign, procedure, vascular-access, diagnosis and admission variables). Five candidate models (ridge regression, random forest, extremely randomized trees, gradient-boosted trees and a Tweedie model) were tuned by patient-grouped cross-validation</w:t>
      </w:r>
      <w:r w:rsidR="0072389F">
        <w:t>.</w:t>
      </w:r>
      <w:r>
        <w:t xml:space="preserve"> </w:t>
      </w:r>
      <w:r w:rsidR="0072389F">
        <w:t>T</w:t>
      </w:r>
      <w:r>
        <w:t>he model with the lowest cross-validated mean absolute error (MAE) was pre-specified as final. The model was then evaluated prospectively on all 286 ICU stays with a matched independent senior-physician LoS estimate</w:t>
      </w:r>
      <w:r w:rsidR="0072389F">
        <w:t>.</w:t>
      </w:r>
    </w:p>
    <w:p w14:paraId="07F3E735" w14:textId="10263BE1" w:rsidR="000D54FE" w:rsidRDefault="00DC6D1A">
      <w:pPr>
        <w:jc w:val="both"/>
      </w:pPr>
      <w:r>
        <w:rPr>
          <w:b/>
        </w:rPr>
        <w:t xml:space="preserve">Results: </w:t>
      </w:r>
      <w:r>
        <w:t xml:space="preserve">Extremely randomized trees (Extra Trees) had the best cross-validated MAE and was selected as the final model (hold-out MAE 2.75 d, R² 0.36). Early intensive-care complex-treatment and monitoring procedure codes dominated feature importance. Prospectively, the senior physician was more accurate overall (MAE 2.94 vs 3.69 d for Extra Trees). However, the comparison was strongly subgroup-dependent: the physician dominated for short (1–2 d) and very long (&gt;7 d) stays, whereas Extra Trees was significantly more accurate than the physician for intermediate stays of 4–7 days (paired bootstrap 95% CI of the MAE difference entirely above zero; one-sided Wilcoxon p = 0.01). </w:t>
      </w:r>
      <w:r>
        <w:rPr>
          <w:b/>
        </w:rPr>
        <w:t xml:space="preserve">Conclusion: </w:t>
      </w:r>
      <w:r>
        <w:t xml:space="preserve">A first-24-hour ML model does not replace experienced clinical judgement for ICU-LoS prediction, but it adds measurable, statistically significant value precisely in the intermediate-stay range where clinicians are least </w:t>
      </w:r>
      <w:r>
        <w:lastRenderedPageBreak/>
        <w:t xml:space="preserve">accurate. This argues for a complementary, human-in-the-loop deployment rather than full automation. </w:t>
      </w:r>
    </w:p>
    <w:p w14:paraId="32F99B58" w14:textId="77777777" w:rsidR="000D54FE" w:rsidRDefault="00DC6D1A">
      <w:r>
        <w:rPr>
          <w:i/>
          <w:sz w:val="20"/>
        </w:rPr>
        <w:t>Keywords: intensive care; length of stay; machine learning; prospective validation; clinical decision support; explainable AI; TRIPOD+AI; human-in-the-loop</w:t>
      </w:r>
    </w:p>
    <w:p w14:paraId="2CC95690" w14:textId="77777777" w:rsidR="000D54FE" w:rsidRDefault="00DC6D1A">
      <w:pPr>
        <w:pStyle w:val="berschrift1"/>
      </w:pPr>
      <w:r>
        <w:t>1. Introduction</w:t>
      </w:r>
    </w:p>
    <w:p w14:paraId="430A92C0" w14:textId="68D12F9F" w:rsidR="000D54FE" w:rsidRDefault="00DC6D1A">
      <w:pPr>
        <w:jc w:val="both"/>
      </w:pPr>
      <w:r>
        <w:t xml:space="preserve">Anticipating how long a patient will remain in the ICU </w:t>
      </w:r>
      <w:r w:rsidR="001A47B3">
        <w:t xml:space="preserve">(Intensive Care Unit) </w:t>
      </w:r>
      <w:r>
        <w:t>is central to bed management, staff rostering, operating-theatre scheduling and timely step-down decisions</w:t>
      </w:r>
      <w:r w:rsidR="008E7DA7">
        <w:t xml:space="preserve"> </w:t>
      </w:r>
      <w:r w:rsidR="008E7DA7">
        <w:fldChar w:fldCharType="begin"/>
      </w:r>
      <w:r w:rsidR="008E7DA7">
        <w:instrText xml:space="preserve"> ADDIN ZOTERO_ITEM CSL_CITATION {"citationID":"ouXiU0AZ","properties":{"unsorted":false,"formattedCitation":"(1,2)","plainCitation":"(1,2)","noteIndex":0},"citationItems":[{"id":830,"uris":["http://zotero.org/groups/6193457/items/IN6TBDDG"],"itemData":{"id":830,"type":"article-journal","abstract":"Introduction\nIntensive care unit (ICU) costs account for up to 20% of a hospital's costs. We aimed to analyse the individual patient-related cost of intensive care at various hospital levels and for different groups of disease.\n\nMethods\nData from 51 ICUs all over Germany (15 primary care hospitals and 14 general care hospitals, 10 maximal care hospitals and 12 focused care hospitals) were collected in an observational, cross-sectional, one-day point prevalence study by two external study physicians (January–October 2003). All ICU patients (length of stay &gt; 24 hours) treated on the study day were included. The reason for admission, severity of illness, surgical/diagnostic procedures, resource consumption, ICU/hospital length of stay, outcome and ICU staffing structure were documented.\n\nResults\nAltogether 453 patients were included. ICU (hospital) mortality was 12.1% (15.7%). The reason for admission and the severity of illness differed between the hospital levels of care, with a higher amount of unscheduled surgical procedures and patients needing mechanical ventilation in maximal care hospital and focused care hospital facilities. The mean total costs per day were €791 ± 305 (primary care hospitals, €685 ± 234; general care hospitals, €672 ± 199; focused care hospitals, €816 ± 363; maximal care hospitals, €923 ± 306), with the highest cost in septic patients (€1,090 ± 422). Differences were associated with staffing, the amount of prescribed drugs/blood products and diagnostic procedures.\n\nConclusion\nThe reason for admission, the severity of illness and the occurrence of severe sepsis are directly related to the level of ICU cost. A high fraction of costs result from staffing (up to 62%). Specialized and maximum care hospitals treat a higher proportion of the more severely ill and most expensive patients.","citation-key":"moererGermanNationalPrevalence2007","container-title":"Critical Care","DOI":"10.1186/cc5952","ISSN":"1364-8535","issue":"3","journalAbbreviation":"Crit Care","page":"R69","PMID":"17594475","PMCID":"PMC2206435","source":"PubMed Central","title":"A German national prevalence study on the cost of intensive care: an evaluation from 51 intensive care units","title-short":"A German national prevalence study on the cost of intensive care","volume":"11","author":[{"family":"Moerer","given":"Onnen"},{"family":"Plock","given":"Enno"},{"family":"Mgbor","given":"Uchenna"},{"family":"Schmid","given":"Alexandra"},{"family":"Schneider","given":"Heinz"},{"family":"Wischnewsky","given":"Manfred Bernd"},{"family":"Burchardi","given":"Hilmar"}],"issued":{"date-parts":[["2007"]]}}},{"id":833,"uris":["http://zotero.org/groups/6193457/items/VPVIKWMD"],"itemData":{"id":833,"type":"article-journal","abstract":"This article is a methodological review to help the intensivist gain insights into the classic and sometimes arcane maze of national databases and methodologies used to determine and analyze the ICU bed supply, use, occupancy, and costs in the United States. Data for total ICU beds, use, and occupancy can be derived from two large national healthcare databases: the Healthcare Cost Report Information System maintained by the federal Centers for Medicare and Medicaid Services and the proprietary Hospital Statistics of the American Hospital Association. Two costing methodologies can be used to calculate U.S. ICU costs: the Russell equation and national projections. Both methods are based on cost and use data from the national hospital datasets or from defined groups of hospitals or patients. At the national level, an understanding of U.S. ICU bed supply, use, occupancy, and costs helps provide clarity to the width and scope of the critical care medicine enterprise within the U.S. healthcare system. This review will also help the intensivist better understand published studies on administrative topics related to critical care medicine and be better prepared to participate in their own local hospital organizations or regional critical care medicine programs.","citation-key":"halpernCriticalCareMedicine2015","container-title":"Critical Care Medicine","DOI":"10.1097/CCM.0000000000001227","ISSN":"1530-0293","issue":"11","journalAbbreviation":"Crit Care Med","language":"eng","page":"2452-2459","PMID":"26308432","PMCID":"PMC5520980","source":"PubMed","title":"Critical Care Medicine Beds, Use, Occupancy, and Costs in the United States: A Methodological Review","title-short":"Critical Care Medicine Beds, Use, Occupancy, and Costs in the United States","volume":"43","author":[{"family":"Halpern","given":"Neil A."},{"family":"Pastores","given":"Stephen M."}],"issued":{"date-parts":[["2015",11]]}}}],"schema":"https://github.com/citation-style-language/schema/raw/master/csl-citation.json"} </w:instrText>
      </w:r>
      <w:r w:rsidR="008E7DA7">
        <w:fldChar w:fldCharType="separate"/>
      </w:r>
      <w:r w:rsidR="008E7DA7" w:rsidRPr="008E7DA7">
        <w:rPr>
          <w:rFonts w:cs="Calibri"/>
        </w:rPr>
        <w:t>(1,2)</w:t>
      </w:r>
      <w:r w:rsidR="008E7DA7">
        <w:fldChar w:fldCharType="end"/>
      </w:r>
      <w:r>
        <w:t>. Length-of-stay (LoS) estimates are made implicitly many times a day by senior clinicians, but these estimates are rarely recorded, audited or benchmarked, and the degree to which data-driven models could support or improve them is not well established</w:t>
      </w:r>
      <w:r w:rsidR="0056461D">
        <w:t xml:space="preserve"> </w:t>
      </w:r>
      <w:r w:rsidR="0056461D">
        <w:fldChar w:fldCharType="begin"/>
      </w:r>
      <w:r w:rsidR="0056461D">
        <w:instrText xml:space="preserve"> ADDIN ZOTERO_ITEM CSL_CITATION {"citationID":"wj2Bq7wi","properties":{"unsorted":false,"formattedCitation":"(3)","plainCitation":"(3)","noteIndex":0},"citationItems":[{"id":840,"uris":["http://zotero.org/groups/6193457/items/VERYUCY6"],"itemData":{"id":840,"type":"article-journal","abstract":"Objective: \n          We systematically reviewed models to predict adult ICU length of stay.\n          Data Sources: \n          We searched the Ovid EMBASE and MEDLINE databases for studies on the development or validation of ICU length of stay prediction models.\n          Study Selection: \n          We identified 11 studies describing the development of 31 prediction models and three describing external validation of one of these models.\n          Data Extraction: \n          Clinicians use ICU length of stay predictions for planning ICU capacity, identifying unexpectedly long ICU length of stay, and benchmarking ICUs. We required the model variables to have been published and for the models to be free of organizational characteristics and to produce accurate predictions, as assessed by R2 across patients for planning and identifying unexpectedly long ICU length of stay and across ICUs for benchmarking, with low calibration bias. We assessed the reporting quality using the Checklist for Critical Appraisal and Data Extraction for Systematic Reviews of Prediction Modelling Studies.\n          Data Synthesis: \n          The number of admissions ranged from 253 to 178,503. Median ICU length of stay was between 2 and 6.9 days. Two studies had not published model variables and three included organizational characteristics. None of the models produced predictions with low bias. The R2 was 0.05–0.28 across patients and 0.01–0.64 across ICUs. The reporting scores ranged from 49 of 78 to 60 of 78 and the methodologic scores from 12 of 22 to 16 of 22.\n          Conclusion: \n          No models completely satisfy our requirements for planning, identifying unexpectedly long ICU length of stay, or for benchmarking purposes. Physicians using these models to predict ICU length of stay should interpret them with reservation.","citation-key":"verburgWhichModelsCan2017a","container-title":"Critical Care Medicine","DOI":"10.1097/CCM.0000000000002054","ISSN":"1530-0293","issue":"2","language":"en-US","page":"e222","source":"journals.lww.com","title":"Which Models Can I Use to Predict Adult ICU Length of Stay? A Systematic Review*","title-short":"Which Models Can I Use to Predict Adult ICU Length of Stay?","volume":"45","author":[{"family":"Verburg","given":"Ilona Willempje Maria"},{"family":"Atashi","given":"Alireza"},{"family":"Eslami","given":"Saeid"},{"family":"Holman","given":"Rebecca"},{"family":"Abu-Hanna","given":"Ameen"},{"family":"Jonge","given":"Everet","non-dropping-particle":"de"},{"family":"Peek","given":"Niels"},{"family":"Keizer","given":"Nicolette Fransisca","non-dropping-particle":"de"}],"issued":{"date-parts":[["2017",2]]}}}],"schema":"https://github.com/citation-style-language/schema/raw/master/csl-citation.json"} </w:instrText>
      </w:r>
      <w:r w:rsidR="0056461D">
        <w:fldChar w:fldCharType="separate"/>
      </w:r>
      <w:r w:rsidR="0056461D" w:rsidRPr="0056461D">
        <w:rPr>
          <w:rFonts w:cs="Calibri"/>
        </w:rPr>
        <w:t>(3)</w:t>
      </w:r>
      <w:r w:rsidR="0056461D">
        <w:fldChar w:fldCharType="end"/>
      </w:r>
      <w:r>
        <w:t>.</w:t>
      </w:r>
    </w:p>
    <w:p w14:paraId="07ACB1AF" w14:textId="03832C04" w:rsidR="000D54FE" w:rsidRDefault="00DC6D1A">
      <w:pPr>
        <w:jc w:val="both"/>
      </w:pPr>
      <w:r>
        <w:t>Machine learning (ML) has been applied widely to ICU outcome prediction</w:t>
      </w:r>
      <w:r w:rsidR="00357C01">
        <w:t xml:space="preserve"> </w:t>
      </w:r>
      <w:r w:rsidR="00357C01">
        <w:fldChar w:fldCharType="begin"/>
      </w:r>
      <w:r w:rsidR="0056461D">
        <w:instrText xml:space="preserve"> ADDIN ZOTERO_ITEM CSL_CITATION {"citationID":"SRPzqPee","properties":{"unsorted":false,"formattedCitation":"(4,5)","plainCitation":"(4,5)","noteIndex":0},"citationItems":[{"id":566,"uris":["http://zotero.org/groups/6193457/items/DQZEY4YT"],"itemData":{"id":566,"type":"article-journal","abstract":"Intensive care is under increasing pressure due to demographic changes, availability of new complex therapies, and workforce shortages, resul=ng in a rela=ve reduc=on in resources. Technological advances such as digitaliza=on, wearable sensors, and ar=ficial intelligence promise to improve care delivery, enabling to provide equal or higher-quality care at lower costs. However, no healthcare system has yet demonstrated large-scale gains in the eﬃciency of intensive care delivery. A central requirement is the capacity to translate ideas and concepts into value, providing changes that make services, products and op=mal care more accessible and aﬀordable to a larger popula=on, genera=ng value. Innova=on should thus be acknowledged as a fourth principal pillar of intensive care, alongside clinical excellence, research, and teaching. This paper presents the opinion of a mul=disciplinary expert panel, proposing a framework to support the genera=on, implementa=on, and evalua=on of innova=on in intensive care. We iden=fy and examine key areas and applica=ons where innova=on is urgently needed, including workforce development, technology adop=on, environmental sustainability and the transforma=on of medical educa=on. We also highlight barriers and concerns that must be addressed when implan=ng innova=on in ICUs. We integrate these into a comprehensive framework illustrated through concrete examples. Finally, we argue that innova=on should not be driven solely by academia or industry, but strategically led by healthcare professionals and pa=ents’ representa=ves, grounded in ethics and data, interdisciplinary, and centered on pa=ents and society needs. This framework oﬀers a pathway for innova=on, suppor=ng a more inclusive, eﬀec=ve, and sustainable future for intensive care.","citation-key":"cecconiInnovationIntensiveCare2026","DOI":"10.17863/CAM.128637","language":"en","license":"Creative Commons Attribution 4.0 International, embargo","publisher":"SpringerOpen","source":"DOI.org (Datacite)","title":"Innovation in Intensive Care: a framework to turn ideas and concepts into actionable solutions","title-short":"Innovation in Intensive Care","URL":"https://www.repository.cam.ac.uk/handle/1810/400471","author":[{"family":"Cecconi","given":"Maurizio"},{"family":"Greco","given":"Massimilliano"},{"family":"Balzani","given":"Eleonora"},{"family":"Aliverti","given":"Andrea"},{"family":"Azoulay","given":"Elie"},{"family":"Bignami","given":"Elena"},{"family":"Blanch","given":"Lluis"},{"family":"Costantino","given":"Maria Laura"},{"family":"Elbers","given":"Paul"},{"family":"Ercole","given":"Ari"},{"family":"Ferrario","given":"Manuela"},{"family":"Fumagali","given":"Roberto"},{"family":"Grasselli","given":"Giacomo"},{"family":"Hunfeld","given":"Nicole"},{"family":"Iaquaniello","given":"Carolina"},{"family":"Jaber","given":"Samir"},{"family":"Kesecioglu","given":"Josef"},{"family":"Landoni","given":"Giovanni"},{"family":"Latronico","given":"Nicola"},{"family":"Ozoani","given":"Ezinwanne"},{"family":"Perchiazzi","given":"Gaetano"},{"family":"Povoa","given":"Pedro"},{"family":"Roberts","given":"Jason A"},{"family":"Shankar-Hari","given":"Manu"},{"family":"Theodorakopoulou","given":"Maria"},{"family":"Thoral","given":"Patrick"},{"family":"Mol","given":"Margo","non-dropping-particle":"van"},{"family":"Maggiore","given":"Salvatore"},{"family":"De Waele","given":"Jan J"}],"contributor":[{"literal":"Apollo-University of Cambridge Repository"},{"literal":"University of Cambridge"}],"accessed":{"date-parts":[["2026",3,31]]},"issued":{"date-parts":[["2026",3,24]]}}},{"id":435,"uris":["http://zotero.org/groups/6193457/items/ZMEA4BCU"],"itemData":{"id":435,"type":"article-journal","citation-key":"cecconiImplementingArtificialIntelligence2025a","container-title":"Critical Care","DOI":"10.1186/s13054-025-05532-2","ISSN":"1364-8535","issue":"1","journalAbbreviation":"Crit Care","language":"en","page":"290","source":"DOI.org (Crossref)","title":"Implementing Artificial Intelligence in Critical Care Medicine: a consensus of 22","title-short":"Implementing Artificial Intelligence in Critical Care Medicine","volume":"29","author":[{"family":"Cecconi","given":"Maurizio"},{"family":"Greco","given":"Massimiliano"},{"family":"Shickel","given":"Benjamin"},{"family":"Angus","given":"Derek C."},{"family":"Bailey","given":"Heatherlee"},{"family":"Bignami","given":"Elena"},{"family":"Calandra","given":"Thierry"},{"family":"Celi","given":"Leo Anthony"},{"family":"Einav","given":"Sharon"},{"family":"Elbers","given":"Paul"},{"family":"Ercole","given":"Ari"},{"family":"Gómez","given":"Hernando"},{"family":"Gong","given":"Michelle Ng"},{"family":"Komorowski","given":"Matthieu"},{"family":"Liu","given":"Vincent"},{"family":"Park","given":"Soojin"},{"family":"Sarwal","given":"Aarti"},{"family":"Seymour","given":"Christopher W."},{"family":"Zampieri","given":"Fernando G."},{"family":"Taccone","given":"Fabio Silvio"},{"family":"Vincent","given":"Jean-Louis"},{"family":"Bihorac","given":"Azra"}],"issued":{"date-parts":[["2025",7,8]]}}}],"schema":"https://github.com/citation-style-language/schema/raw/master/csl-citation.json"} </w:instrText>
      </w:r>
      <w:r w:rsidR="00357C01">
        <w:fldChar w:fldCharType="separate"/>
      </w:r>
      <w:r w:rsidR="0056461D" w:rsidRPr="0056461D">
        <w:rPr>
          <w:rFonts w:cs="Calibri"/>
        </w:rPr>
        <w:t>(4,5)</w:t>
      </w:r>
      <w:r w:rsidR="00357C01">
        <w:fldChar w:fldCharType="end"/>
      </w:r>
      <w:r>
        <w:t>, yet two gaps limit clinical translation</w:t>
      </w:r>
      <w:r w:rsidR="00357C01">
        <w:t xml:space="preserve"> </w:t>
      </w:r>
      <w:r w:rsidR="008E7DA7">
        <w:fldChar w:fldCharType="begin"/>
      </w:r>
      <w:r w:rsidR="0056461D">
        <w:instrText xml:space="preserve"> ADDIN ZOTERO_ITEM CSL_CITATION {"citationID":"RQWm3KNf","properties":{"unsorted":false,"formattedCitation":"(6\\uc0\\u8211{}10)","plainCitation":"(6–10)","noteIndex":0},"citationItems":[{"id":777,"uris":["http://zotero.org/groups/6193457/items/EE9HE3GX"],"itemData":{"id":777,"type":"article-journal","abstract":"Abstract\n            Clinical artificial intelligence (AI) applications frequently fail to transition from short-term pilot projects into sustained components of routine clinical care, a phenomenon referred to in this viewpoint as the pilot trap. This persistent gap reflects not only technical or regulatory limitations but also insufficient governance capacity within health care organizations. We argue that such capacity is not fully established before deployment; rather, it develops through implementation as real-world operational tensions clarify organizational ownership, accountability boundaries, and coordination mechanisms. Drawing on an 18-month implementation of a provincial clinical AI platform in China, we develop a 6-module governance framework encompassing institutional carrier formation, infrastructure governance, regulatory and ethical governance, interdisciplinary coordination, translational scaling, and lifecycle evaluation and oversight. These modules represent functional governance conditions observed during implementation rather than a prescriptive institutional architecture to be installed prior to deployment. We further introduce the concept of functional transferability and position the framework as an upstream complement to existing international governance standards, which typically specify what governance should achieve, but often assume that the organizational capacity to implement it already exists. Advancing clinical AI beyond demonstration, therefore, depends less on model performance alone than on the ability of health systems to develop and sustain the institutional capacity required for routine clinical use.","citation-key":"tianPilotTrapInstitutional2026a","container-title":"Journal of Medical Internet Research","DOI":"10.2196/92680","ISSN":"1438-8871","journalAbbreviation":"J Med Internet Res","language":"en","page":"e92680-e92680","source":"DOI.org (Crossref)","title":"From Pilot Trap to Institutional Capacity: A Governance Framework for Sustainable Clinical AI Implementation in Health Systems","title-short":"From Pilot Trap to Institutional Capacity","volume":"28","author":[{"family":"Tian","given":"Jin"},{"family":"Zhao","given":"Zengren"},{"family":"Tang","given":"Longmei"},{"family":"Song","given":"Yongzhao"},{"family":"Li","given":"Yuchang"},{"family":"Jiang","given":"Nan"}],"issued":{"date-parts":[["2026",5,7]]}}},{"id":331,"uris":["http://zotero.org/groups/6193457/items/UHTATL9Y"],"itemData":{"id":331,"type":"article-journal","abstract":"Artificial intelligence promises to revolutionise medicine, yet its impact remains limited because of the pervasive translational gap. We posit that the prevailing technology-centric approaches underpin this challenge, rendering such systems fundamentally incompatible with clinical practice, specifically diagnostic reasoning and decision making. Instead, we propose a novel sociotechnical conceptualisation of data-driven support tools designed to complement doctors’ cognitive and epistemic activities. Crucially, it prioritises real-world impact over superhuman performance on inconsequential benchmarks.","citation-key":"sokolArtificialIntelligenceShould2025","container-title":"npj Digital Medicine","DOI":"10.1038/s41746-025-01725-9","ISSN":"2398-6352","issue":"1","journalAbbreviation":"npj Digit. Med.","language":"en","license":"2025 The Author(s)","page":"345","publisher":"Nature Publishing Group","source":"www.nature.com","title":"Artificial intelligence should genuinely support clinical reasoning and decision making to bridge the translational gap","volume":"8","author":[{"family":"Sokol","given":"Kacper"},{"family":"Fackler","given":"James"},{"family":"Vogt","given":"Julia E."}],"issued":{"date-parts":[["2025",6,10]]}}},{"id":619,"uris":["http://zotero.org/groups/6193457/items/UVG97CNZ"],"itemData":{"id":619,"type":"article-journal","abstract":"Objectives\n: Despite the surge in development of artificial intelligence (AI) algorithms to support clinical decision-making, few of these algorithms are used in practice. We reviewed recent literature on clinical deployment of AI-based clinical decision support systems (AI-CDSS), and assessed the maturity of AI-CDSS implementation research. We also aimed to compare and contrast implementation of rule-based CDSS with implementation of AI-CDSS, and to give recommendations for future research in this area.\n, Methods\n: We searched PubMed and Scopus for publications in 2022 and 2023 that focused on AI and/or CDSS, health care, and implementation research, and extracted: clinical setting; clinical task; translational research phase; study design; participants; implementation theory, model or framework used; and key findings.\n, Results\n: We selected and described a total of 31 recent papers addressing implementation of AI-CDSS in clinical practice, categorised into four groups: (i) Implementation theories, frameworks, and models (4 papers); (ii) Stakeholder perspectives (22 papers); (iii) Implementation feasibility (three papers); and (iv) Technical infrastructure (2 papers). Stakeholders saw potential benefits of AI-CDSS, but emphasized the need for a strong evidence base and indicated that systems should fit into clinical workflows. There were clear similarities with rule-based CDSS, but also differences with respect to trust and transparency, knowledge, intellectual property, and regulation.\n, Conclusions\n: The field of AI-CDSS implementation research is still in its infancy. It can be strengthened by grounding studies in established theories, models and frameworks from implementation science, focusing on the perspectives of stakeholder groups other than healthcare professionals, conducting more real-world implementation feasibility studies, and through development of reusable technical infrastructure that facilitates rapid deployment of AI-CDSS in clinical practice.","citation-key":"peekBridgingGapChallenges2025","container-title":"Yearbook of Medical Informatics","DOI":"10.1055/s-0044-1800729","ISSN":"0943-4747","issue":"1","journalAbbreviation":"Yearb Med Inform","page":"103-114","PMID":"40199296","PMCID":"PMC12020628","source":"PubMed Central","title":"Bridging the Gap: Challenges and Strategies for the Implementation of Artificial Intelligence-based Clinical Decision Support Systems in Clinical Practice","title-short":"Bridging the Gap","volume":"33","author":[{"family":"Peek","given":"Niels"},{"family":"Capurro","given":"Daniel"},{"family":"Rozova","given":"Vlada"},{"family":"Veer","given":"Sabine N","non-dropping-particle":"van der"}],"issued":{"date-parts":[["2025",4,8]]}}},{"id":326,"uris":["http://zotero.org/groups/6193457/items/4MKH7C25"],"itemData":{"id":326,"type":"article-journal","abstract":"Artificial intelligence (AI) has the potential to revolutionize healthcare, for example via decision support systems, computer vision approaches, or AI-based prevention tools. Initial results from AI applications in healthcare show promise but are rarely translated into clinical practice successfully and ethically. This occurs despite an abundance of \"Trustworthy AI\" guidelines. How can we explain the translational gaps of AI in healthcare? This paper offers a fresh perspective on this problem, showing that failing translation of healthcare AI markedly arises from a lack of an operational definition of \"trust\" and \"trustworthiness\". This leads to (a) unintentional misuse concerning what trust(worthiness) is and (b) the risk of intentional abuse by industry stakeholders engaging in ethics washing. By pointing out these issues, we aim to highlight the obstacles that hinder translation of Trustworthy medical AI to practice and prevent it from fulfilling its unmet promises.","citation-key":"burgerUnmetPromiseTrustworthy2024","container-title":"Frontiers in Digital Health","DOI":"10.3389/fdgth.2024.1279629","ISSN":"2673-253X","journalAbbreviation":"Front. Digit. Health","language":"English","publisher":"Frontiers","source":"Frontiers","title":"The unmet promise of trustworthy AI in healthcare: why we fail at clinical translation","title-short":"The unmet promise of trustworthy AI in healthcare","URL":"https://www.frontiersin.org/journals/digital-health/articles/10.3389/fdgth.2024.1279629/full","volume":"6","author":[{"family":"Bürger","given":"Valerie K."},{"family":"Amann","given":"Julia"},{"family":"Bui","given":"Cathrine K. T."},{"family":"Fehr","given":"Jana"},{"family":"Madai","given":"Vince I."}],"accessed":{"date-parts":[["2025",10,26]]},"issued":{"date-parts":[["2024",4,18]]}}},{"id":324,"uris":["http://zotero.org/groups/6193457/items/89WK44GD"],"itemData":{"id":324,"type":"article-journal","abstract":"The integration of Quality Management System (QMS) principles into the life cycle of development, deployment, and utilization of machine learning (ML) and artificial intelligence (AI) technologies within healthcare settings holds the potential to close the AI translation gap by establishing a robust framework that accelerates the safe, ethical, and effective delivery of AI/ML in day-to-day patient care. Healthcare organizations (HCOs) can implement these principles effectively by embracing an enterprise QMS analogous to those in regulated industries. By establishing a QMS explicitly tailored to health AI technologies, HCOs can comply with evolving regulations and minimize redundancy and rework while aligning their internal governance practices with their steadfast commitment to scientific rigor and medical excellence.","citation-key":"overgaardImplementingQualityManagement2023","container-title":"npj Digital Medicine","DOI":"10.1038/s41746-023-00968-8","ISSN":"2398-6352","issue":"1","journalAbbreviation":"npj Digit. Med.","language":"en","license":"2023 The Author(s)","page":"218","publisher":"Nature Publishing Group","source":"www.nature.com","title":"Implementing quality management systems to close the AI translation gap and facilitate safe, ethical, and effective health AI solutions","volume":"6","author":[{"family":"Overgaard","given":"Shauna M."},{"family":"Graham","given":"Megan G."},{"family":"Brereton","given":"Tracey"},{"family":"Pencina","given":"Michael J."},{"family":"Halamka","given":"John D."},{"family":"Vidal","given":"David E."},{"family":"Economou-Zavlanos","given":"Nicoleta J."}],"issued":{"date-parts":[["2023",11,25]]}}}],"schema":"https://github.com/citation-style-language/schema/raw/master/csl-citation.json"} </w:instrText>
      </w:r>
      <w:r w:rsidR="008E7DA7">
        <w:fldChar w:fldCharType="separate"/>
      </w:r>
      <w:r w:rsidR="0056461D" w:rsidRPr="0056461D">
        <w:rPr>
          <w:rFonts w:cs="Calibri"/>
        </w:rPr>
        <w:t>(6–10)</w:t>
      </w:r>
      <w:r w:rsidR="008E7DA7">
        <w:fldChar w:fldCharType="end"/>
      </w:r>
      <w:r>
        <w:t>. First, many models are developed and reported only retrospectively, without a prospective test under real operating conditions</w:t>
      </w:r>
      <w:r w:rsidR="00C567E9">
        <w:t xml:space="preserve"> </w:t>
      </w:r>
      <w:r w:rsidR="00C567E9">
        <w:fldChar w:fldCharType="begin"/>
      </w:r>
      <w:r w:rsidR="0056461D">
        <w:instrText xml:space="preserve"> ADDIN ZOTERO_ITEM CSL_CITATION {"citationID":"0vVuifdS","properties":{"unsorted":false,"formattedCitation":"(11)","plainCitation":"(11)","noteIndex":0},"citationItems":[{"id":835,"uris":["http://zotero.org/groups/6193457/items/XKDXL8CT"],"itemData":{"id":835,"type":"article-journal","abstract":"Purpose\nDue to the increasing demand for intensive care unit (ICU) treatment, and to improve quality and efficiency of care, there is a need for adequate and efficient clinical decision-making. The advancement of artificial intelligence (AI) technologies has resulted in the development of prediction models, which might aid clinical decision-making. This systematic review seeks to give a contemporary overview of the current maturity of AI in the ICU, the research methods behind these studies, and the risk of bias in these studies.\n\nMethods\nA systematic search was conducted in Embase, Medline, Web of Science Core Collection and Cochrane Central Register of Controlled Trials databases to identify eligible studies. Studies using AI to analyze ICU data were considered eligible. Specifically, the study design, study aim, dataset size, level of validation, level of readiness, and the outcomes of clinical trials were extracted. Risk of bias in individual studies was evaluated by the Prediction model Risk Of Bias ASsessment Tool (PROBAST).\n\nResults\nOut of 6455 studies identified through literature search, 494 were included. The most common study design was retrospective [476 studies (96.4% of all studies)] followed by prospective observational [8 (1.6%)] and clinical [10 (2%)] trials. 378 (80.9%) retrospective studies were classified as high risk of bias. No studies were identified that reported on the outcome evaluation of an AI model integrated in routine clinical practice.\n\nConclusion\nThe vast majority of developed ICU-AI models remain within the testing and prototyping environment; only a handful were actually evaluated in clinical practice. A uniform and structured approach can support the development, safe delivery, and implementation of AI to determine clinical benefit in the ICU.\n\nSupplementary Information\nThe online version contains supplementary material available at 10.1007/s00134-021-06446-7.","citation-key":"vandesandeMovingBytesBedside2021a","container-title":"Intensive Care Medicine","DOI":"10.1007/s00134-021-06446-7","ISSN":"0342-4642","issue":"7","journalAbbreviation":"Intensive Care Med","page":"750-760","PMID":"34089064","PMCID":"PMC8178026","source":"PubMed Central","title":"Moving from bytes to bedside: a systematic review on the use of artificial intelligence in the intensive care unit","title-short":"Moving from bytes to bedside","volume":"47","author":[{"family":"Sande","given":"Davy","non-dropping-particle":"van de"},{"family":"Genderen","given":"Michel E.","non-dropping-particle":"van"},{"family":"Huiskens","given":"Joost"},{"family":"Gommers","given":"Diederik"},{"family":"Bommel","given":"Jasper","non-dropping-particle":"van"}],"issued":{"date-parts":[["2021"]]}}}],"schema":"https://github.com/citation-style-language/schema/raw/master/csl-citation.json"} </w:instrText>
      </w:r>
      <w:r w:rsidR="00C567E9">
        <w:fldChar w:fldCharType="separate"/>
      </w:r>
      <w:r w:rsidR="0056461D" w:rsidRPr="0056461D">
        <w:rPr>
          <w:rFonts w:cs="Calibri"/>
        </w:rPr>
        <w:t>(11)</w:t>
      </w:r>
      <w:r w:rsidR="00C567E9">
        <w:fldChar w:fldCharType="end"/>
      </w:r>
      <w:r>
        <w:t>. Second, ML predictions are seldom benchmarked against the clinicians whose decisions they are meant to support, so it remains unclear whether a model adds value, merely reproduces clinical intuition, or underperforms it</w:t>
      </w:r>
      <w:r w:rsidR="00C567E9">
        <w:t xml:space="preserve"> </w:t>
      </w:r>
      <w:r w:rsidR="00C567E9">
        <w:fldChar w:fldCharType="begin"/>
      </w:r>
      <w:r w:rsidR="0056461D">
        <w:instrText xml:space="preserve"> ADDIN ZOTERO_ITEM CSL_CITATION {"citationID":"EN9gf1q7","properties":{"unsorted":false,"formattedCitation":"(12)","plainCitation":"(12)","noteIndex":0},"citationItems":[{"id":401,"uris":["http://zotero.org/groups/6193457/items/X25TRDFU"],"itemData":{"id":401,"type":"article-journal","abstract":"Importance\n              Artificial intelligence (AI) presents transformative opportunities to address the increasing challenges faced by health care systems globally. Particularly, in data-rich environments, such as intensive care units (ICUs), AI could assist in enhancing clinical decision-making, streamline workflows, and improve patient outcomes. Despite these promising applications, the practical implementation of AI in clinical settings remains limited.\n            \n            \n              Objective\n              To systematically evaluate AI system operationalization in the ICU, focusing on the AI field’s progress over time, technical maturity, and risk of bias.\n            \n            \n              Evidence Review\n              In this systematic review, 5 databases (Embase, MEDLINE ALL, Web of Science Core Collection, Cochrane Central Register of Controlled Trials, and Google Scholar) were searched for studies published from July 28, 2020, to June 10, 2024. Eligible studies evaluated AI applications designed for use within ICUs for adults (aged ≥16 years) and used data collected during ICU stays. Two reviewers independently screened titles and abstracts, with a third reviewer resolving disagreements. Data extraction included AI application aims, dataset origins, technology readiness level (TRL) categorization, and the use of reporting standards. Risk of bias was assessed using the PROBAST (Prediction Model Study Risk of Bias Assessment Tool).\n            \n            \n              Findings\n              Of 17 401 screened records, 1263 studies met the inclusion criteria. A total of 936 studies (74% of all studies) were classified as TRL 4 or below, indicating early-stage development or initial validation. Among these, 447 (37%) used internal datasets, 562 (46%) used MIMIC (Medical Information Mart for Intensive Care) datasets (I-IV), and 78 (6%) used the open-source eICU Collaborative Research Database. External validation (TRL 5) was achieved by 24% of studies. Only 25 (2%) progressed to clinical integration (TRL≥6), with no studies reaching full implementation (TRL 9). Although approximately half of generative AI models reached a higher TRL (14 [47%] with TRL 5), none reached clinical integration. Additionally, only 207 studies (16%) referenced reporting standards, with adherence modestly increasing from 14% in 2021 to 23% in 2024. High risk of bias was identified in 581 of 1103 studies (53%), primarily due to methodologic shortcomings in the analysis domain.\n            \n            \n              Conclusions and Relevance\n              Despite substantial growth in AI research within intensive care medicine in recent years, the transition from development to clinical implementation still remains limited and has made little progress over time. A paradigm shift is urgently required in the medical literature—one that moves beyond retrospective validation toward the operationalization and prospective testing of AI for tangible clinical impact.","citation-key":"berkhoutOperationalizationArtificialIntelligence2025a","container-title":"JAMA Network Open","DOI":"10.1001/jamanetworkopen.2025.22866","ISSN":"2574-3805","issue":"7","journalAbbreviation":"JAMA Netw Open","language":"en","page":"e2522866","source":"DOI.org (Crossref)","title":"Operationalization of Artificial Intelligence Applications in the Intensive Care Unit: A Systematic Review","title-short":"Operationalization of Artificial Intelligence Applications in the Intensive Care Unit","volume":"8","author":[{"family":"Berkhout","given":"Willemijn E. M."},{"family":"Van Wijngaarden","given":"Julia J."},{"family":"Workum","given":"Jessica D."},{"family":"Van De Sande","given":"Davy"},{"family":"Hilling","given":"Denise E."},{"family":"Jung","given":"Christian"},{"family":"Meyfroidt","given":"Geert"},{"family":"Gommers","given":"Diederik"},{"family":"Buijsman","given":"Stefan N. R."},{"family":"Van Genderen","given":"Michel E."}],"issued":{"date-parts":[["2025",7,23]]}}}],"schema":"https://github.com/citation-style-language/schema/raw/master/csl-citation.json"} </w:instrText>
      </w:r>
      <w:r w:rsidR="00C567E9">
        <w:fldChar w:fldCharType="separate"/>
      </w:r>
      <w:r w:rsidR="0056461D" w:rsidRPr="0056461D">
        <w:rPr>
          <w:rFonts w:cs="Calibri"/>
        </w:rPr>
        <w:t>(12)</w:t>
      </w:r>
      <w:r w:rsidR="00C567E9">
        <w:fldChar w:fldCharType="end"/>
      </w:r>
      <w:r>
        <w:t xml:space="preserve">. </w:t>
      </w:r>
      <w:r w:rsidR="0056461D" w:rsidRPr="0056461D">
        <w:rPr>
          <w:lang w:val="en-GB"/>
        </w:rPr>
        <w:t>This results in the clinical benefit of many ML predictions based on retrospective data with good performance remaining unclear.</w:t>
      </w:r>
      <w:r w:rsidR="0056461D">
        <w:rPr>
          <w:lang w:val="en-GB"/>
        </w:rPr>
        <w:t xml:space="preserve"> </w:t>
      </w:r>
      <w:r w:rsidR="0056461D" w:rsidRPr="0056461D">
        <w:rPr>
          <w:lang w:val="en-GB"/>
        </w:rPr>
        <w:t xml:space="preserve">This phenomenon is also referred to as the so-called "Translation Gap" </w:t>
      </w:r>
      <w:r w:rsidR="0056461D">
        <w:rPr>
          <w:lang w:val="en-GB"/>
        </w:rPr>
        <w:fldChar w:fldCharType="begin"/>
      </w:r>
      <w:r w:rsidR="0056461D" w:rsidRPr="0056461D">
        <w:rPr>
          <w:lang w:val="en-GB"/>
        </w:rPr>
        <w:instrText xml:space="preserve"> ADDIN ZOTERO_ITEM CSL_CITATION {"citationID":"i9dgchL5","properties":{"unsorted":false,"formattedCitation":"(7)","plainCitation":"(7)","noteIndex":0},"citationItems":[{"id":331,"uris":["http://zotero.org/groups/6193457/items/UHTATL9Y"],"itemData":{"id":331,"type":"article-journal","abstract":"Artificial intelligence promises to revolutionise medicine, yet its impact remains limited because of the pervasive translational gap. We posit that the prevailing technology-centric approaches underpin this challenge, rendering such systems fundamentally incompatible with clinical practice, specifically diagnostic reasoning and decision making. Instead, we propose a novel sociotechnical conceptualisation of data-driven support tools designed to complement doctors’ cognitive and epistemic activities. Crucially, it prioritises real-world impact over superhuman performance on inconsequential benchmarks.","citation-key":"sokolArtificialIntelligenceShould2025","container-title":"npj Digital Medicine","DOI":"10.1038/s41746-025-01725-9","ISSN":"2398-6352","issue":"1","journalAbbreviation":"npj Digit. Med.","language":"en","license":"2025 The Author(s)","page":"345","publisher":"Nature Publishing Group","source":"www.nature.com","title":"Artificial intelligence should genuinely support clinical reasoning a</w:instrText>
      </w:r>
      <w:r w:rsidR="0056461D" w:rsidRPr="0056461D">
        <w:instrText xml:space="preserve">nd decision </w:instrText>
      </w:r>
      <w:r w:rsidR="0056461D" w:rsidRPr="0056461D">
        <w:rPr>
          <w:lang w:val="en-GB"/>
        </w:rPr>
        <w:instrText>making t</w:instrText>
      </w:r>
      <w:r w:rsidR="0056461D">
        <w:rPr>
          <w:lang w:val="en-GB"/>
        </w:rPr>
        <w:instrText xml:space="preserve">o bridge the translational gap","volume":"8","author":[{"family":"Sokol","given":"Kacper"},{"family":"Fackler","given":"James"},{"family":"Vogt","given":"Julia E."}],"issued":{"date-parts":[["2025",6,10]]}}}],"schema":"https://github.com/citation-style-language/schema/raw/master/csl-citation.json"} </w:instrText>
      </w:r>
      <w:r w:rsidR="0056461D">
        <w:rPr>
          <w:lang w:val="en-GB"/>
        </w:rPr>
        <w:fldChar w:fldCharType="separate"/>
      </w:r>
      <w:r w:rsidR="0056461D" w:rsidRPr="0056461D">
        <w:rPr>
          <w:rFonts w:cs="Calibri"/>
          <w:lang w:val="en-GB"/>
        </w:rPr>
        <w:t>(7)</w:t>
      </w:r>
      <w:r w:rsidR="0056461D">
        <w:rPr>
          <w:lang w:val="en-GB"/>
        </w:rPr>
        <w:fldChar w:fldCharType="end"/>
      </w:r>
      <w:r w:rsidR="0056461D">
        <w:rPr>
          <w:lang w:val="en-GB"/>
        </w:rPr>
        <w:t xml:space="preserve">. </w:t>
      </w:r>
      <w:r w:rsidR="008E7DA7">
        <w:t>To tackle this problem</w:t>
      </w:r>
      <w:r>
        <w:t xml:space="preserve"> of translating data-driven innovation into reliable, clinically meaningful tools requires head-to-head, real-world evidence</w:t>
      </w:r>
      <w:r w:rsidR="0056461D">
        <w:t xml:space="preserve"> </w:t>
      </w:r>
      <w:r w:rsidR="0056461D">
        <w:fldChar w:fldCharType="begin"/>
      </w:r>
      <w:r w:rsidR="0056461D">
        <w:instrText xml:space="preserve"> ADDIN ZOTERO_ITEM CSL_CITATION {"citationID":"71sOR8ej","properties":{"unsorted":false,"formattedCitation":"(13)","plainCitation":"(13)","noteIndex":0},"citationItems":[{"id":843,"uris":["http://zotero.org/groups/6193457/items/WJYJH2CG"],"itemData":{"id":843,"type":"article-journal","abstract":"As more artificial intelligence (AI) applications are integrated into healthcare, there is an urgent need for standardization and quality-control measures to ensure a safe and successful transition of these novel tools into clinical practice. We describe the role of the silent trial, which evaluates an AI model on prospective patients in real-time, while the end-users (i.e., clinicians) are blinded to predictions such that they do not influence clinical decision-making. We present our experience in evaluating a previously developed AI model to predict obstructive hydronephrosis in infants using the silent trial. Although the initial model performed poorly on the silent trial dataset (AUC 0.90 to 0.50), the model was refined by exploring issues related to dataset drift, bias, feasibility, and stakeholder attitudes. Specifically, we found a shift in distribution of age, laterality of obstructed kidneys, and change in imaging format. After correction of these issues, model performance improved and remained robust across two independent silent trial datasets (AUC 0.85–0.91). Furthermore, a gap in patient knowledge on how the AI model would be used to augment their care was identified. These concerns helped inform the patient-centered design for the user-interface of the final AI model. Overall, the silent trial serves as an essential bridge between initial model development and clinical trials assessment to evaluate the safety, reliability, and feasibility of the AI model in a minimal risk environment. Future clinical AI applications should make efforts to incorporate this important step prior to embarking on a full-scale clinical trial.","citation-key":"kwongSilentTrialBridge2022","container-title":"Frontiers in Digital Health","DOI":"10.3389/fdgth.2022.929508","ISSN":"2673-253X","journalAbbreviation":"Front. Digit. Health","page":"929508","source":"DOI.org (Crossref)","title":"The silent trial - the bridge between bench-to-bedside clinical AI applications","volume":"4","author":[{"family":"Kwong","given":"Jethro C. C."},{"family":"Erdman","given":"Lauren"},{"family":"Khondker","given":"Adree"},{"family":"Skreta","given":"Marta"},{"family":"Goldenberg","given":"Anna"},{"family":"McCradden","given":"Melissa D."},{"family":"Lorenzo","given":"Armando J."},{"family":"Rickard","given":"Mandy"}],"issued":{"date-parts":[["2022",8,16]]}}}],"schema":"https://github.com/citation-style-language/schema/raw/master/csl-citation.json"} </w:instrText>
      </w:r>
      <w:r w:rsidR="0056461D">
        <w:fldChar w:fldCharType="separate"/>
      </w:r>
      <w:r w:rsidR="0056461D" w:rsidRPr="0056461D">
        <w:rPr>
          <w:rFonts w:cs="Calibri"/>
        </w:rPr>
        <w:t>(13)</w:t>
      </w:r>
      <w:r w:rsidR="0056461D">
        <w:fldChar w:fldCharType="end"/>
      </w:r>
      <w:r>
        <w:t>.</w:t>
      </w:r>
      <w:r w:rsidR="0056461D">
        <w:t xml:space="preserve"> </w:t>
      </w:r>
    </w:p>
    <w:p w14:paraId="60E1B12C" w14:textId="79793EFB" w:rsidR="0056461D" w:rsidRPr="003A5C64" w:rsidRDefault="003A5C64">
      <w:pPr>
        <w:jc w:val="both"/>
        <w:rPr>
          <w:lang w:val="en-GB"/>
        </w:rPr>
      </w:pPr>
      <w:r w:rsidRPr="003A5C64">
        <w:rPr>
          <w:lang w:val="en-GB"/>
        </w:rPr>
        <w:t>LoS prediction is particularly interesting in this context. The right-skewed distribution makes it difficult for ML approaches to make accurate predictions</w:t>
      </w:r>
      <w:r>
        <w:rPr>
          <w:lang w:val="en-GB"/>
        </w:rPr>
        <w:t xml:space="preserve"> </w:t>
      </w:r>
      <w:r>
        <w:rPr>
          <w:lang w:val="en-GB"/>
        </w:rPr>
        <w:fldChar w:fldCharType="begin"/>
      </w:r>
      <w:r w:rsidR="00947234">
        <w:rPr>
          <w:lang w:val="en-GB"/>
        </w:rPr>
        <w:instrText xml:space="preserve"> ADDIN ZOTERO_ITEM CSL_CITATION {"citationID":"OelVi9cj","properties":{"unsorted":false,"formattedCitation":"(14\\uc0\\u8211{}16)","plainCitation":"(14–16)","noteIndex":0},"citationItems":[{"id":845,"uris":["http://zotero.org/groups/6193457/items/2DGFSZKH"],"itemData":{"id":845,"type":"article-journal","abstract":"Abstract\n            \n              Background\n              In the early stages of the COVID-19 pandemic our institution was interested in forecasting how long surgical patients receiving elective procedures would spend in the hospital. Initial examination of our models indicated that, due to the skewed nature of the length of stay, accurate prediction was challenging and we instead opted for a simpler classification model. In this work we perform a deeper examination of predicting in-hospital length of stay.\n            \n            \n              Methods\n              We used electronic health record data on length of stay from 42,209 elective surgeries. We compare different loss-functions (mean squared error, mean absolute error, mean relative error), algorithms (LASSO, Random Forests, multilayer perceptron) and data transformations (log and truncation). We also assess the performance of two stage hybrid classification-regression approach.\n            \n            \n              Results\n              Our results show that while it is possible to accurately predict short length of stays, predicting longer length of stay is extremely challenging. As such, we opt for a two-stage model that first classifies patients into long versus short length of stays and then a second stage that fits a regresssor among those predicted to have a short length of stay.\n            \n            \n              Discussion\n              The results indicate both the challenges and considerations necessary to applying machine-learning methods to skewed outcomes.\n            \n            \n              Conclusions\n              Two-stage models allow those developing clinical decision support tools to explicitly acknowledge where they can and cannot make accurate predictions.","citation-key":"xuPredictingInhospitalLength2022","container-title":"BMC Medical Informatics and Decision Making","DOI":"10.1186/s12911-022-01855-0","ISSN":"1472-6947","issue":"1","journalAbbreviation":"BMC Med Inform Decis Mak","language":"en","page":"110","source":"DOI.org (Crossref)","title":"Predicting in-hospital length of stay: a two-stage modeling approach to account for highly skewed data","title-short":"Predicting in-hospital length of stay","volume":"22","author":[{"family":"Xu","given":"Zhenhui"},{"family":"Zhao","given":"Congwen"},{"family":"Scales","given":"Charles D."},{"family":"Henao","given":"Ricardo"},{"family":"Goldstein","given":"Benjamin A."}],"issued":{"date-parts":[["2022",12]]}}},{"id":847,"uris":["http://zotero.org/groups/6193457/items/GHUPWF9B"],"itemData":{"id":847,"type":"article-journal","citation-key":"verburgComparisonRegressionMethods2014a","container-title":"PLoS ONE","DOI":"10.1371/journal.pone.0109684","ISSN":"1932-6203","issue":"10","journalAbbreviation":"PLoS ONE","language":"en","page":"e109684","source":"DOI.org (Crossref)","title":"Comparison of Regression Methods for Modeling Intensive Care Length of Stay","volume":"9","author":[{"family":"Verburg","given":"Ilona W. M."},{"family":"De Keizer","given":"Nicolette F."},{"family":"De Jonge","given":"Evert"},{"family":"Peek","given":"Niels"}],"editor":[{"family":"Salluh","given":"Jorge I.F."}],"issued":{"date-parts":[["2014",10,31]]}}},{"id":856,"uris":["http://zotero.org/groups/6193457/items/XHGSS8MX"],"itemData":{"id":856,"type":"paper-conference","abstract":"The pressure of ever-increasing patient demand and budget restrictions make hospital bed management a daily challenge for clinical staff. Most critical is the efficient allocation of resource-heavy Intensive Care Unit (ICU) beds to the patients who need life support. Central to solving this problem is knowing for how long the current set of ICU patients are likely to stay in the unit. In this work, we propose a new deep learning model based on the combination of temporal convolution and pointwise (1x1) convolution, to solve the length of stay prediction task on the eICU and MIMIC-IV critical care datasets. The model - which we refer to as Temporal Pointwise Convolution (TPC) - is specifically designed to mitigate common challenges with Electronic Health Records, such as skewness, irregular sampling and missing data. In doing so, we have achieved significant performance benefits of 18-68% (metric and dataset dependent) over the commonly used Long-Short Term Memory (LSTM) network, and the multi-head self-attention network known as the Transformer. By adding mortality prediction as a side-task, we can improve performance further still, resulting in a mean absolute deviation of 1.55 days (eICU) and 2.28 days (MIMIC-IV) on predicting remaining length of stay.","citation-key":"rocheteauTemporalPointwiseConvolutional2021","container-title":"Proceedings of the Conference on Health, Inference, and Learning","DOI":"10.1145/3450439.3451860","note":"arXiv:2007.09483 [cs.LG]","page":"58-68","source":"arXiv.org","title":"Temporal Pointwise Convolutional Networks for Length of Stay Prediction in the Intensive Care Unit","URL":"http://arxiv.org/abs/2007.09483","author":[{"family":"Rocheteau","given":"Emma"},{"family":"Liò","given":"Pietro"},{"family":"Hyland","given":"Stephanie"}],"accessed":{"date-parts":[["2026",6,23]]},"issued":{"date-parts":[["2021",4,8]]}}}],"schema":"https://github.com/citation-style-language/schema/raw/master/csl-citation.json"} </w:instrText>
      </w:r>
      <w:r>
        <w:rPr>
          <w:lang w:val="en-GB"/>
        </w:rPr>
        <w:fldChar w:fldCharType="separate"/>
      </w:r>
      <w:r w:rsidR="00947234" w:rsidRPr="00947234">
        <w:rPr>
          <w:rFonts w:cs="Calibri"/>
        </w:rPr>
        <w:t>(14–16)</w:t>
      </w:r>
      <w:r>
        <w:rPr>
          <w:lang w:val="en-GB"/>
        </w:rPr>
        <w:fldChar w:fldCharType="end"/>
      </w:r>
      <w:r w:rsidRPr="003A5C64">
        <w:rPr>
          <w:lang w:val="en-GB"/>
        </w:rPr>
        <w:t>. Experienced physicians at the bedside have a wealth of additional information and an “intuition” developed over years of training</w:t>
      </w:r>
      <w:r w:rsidR="00F55799">
        <w:rPr>
          <w:lang w:val="en-GB"/>
        </w:rPr>
        <w:t xml:space="preserve"> </w:t>
      </w:r>
      <w:r w:rsidR="00F55799">
        <w:rPr>
          <w:lang w:val="en-GB"/>
        </w:rPr>
        <w:fldChar w:fldCharType="begin"/>
      </w:r>
      <w:r w:rsidR="00947234">
        <w:rPr>
          <w:lang w:val="en-GB"/>
        </w:rPr>
        <w:instrText xml:space="preserve"> ADDIN ZOTERO_ITEM CSL_CITATION {"citationID":"uxaPfG7N","properties":{"unsorted":false,"formattedCitation":"(17,18)","plainCitation":"(17,18)","noteIndex":0},"citationItems":[{"id":849,"uris":["http://zotero.org/groups/6193457/items/ZND6QJES"],"itemData":{"id":849,"type":"article-journal","abstract":"BACKGROUND: General practitioners (GPs) are often faced with complicated, vague problems in situations of uncertainty that they have to solve at short notice. In such situations, gut feelings seem to play a substantial role in their diagnostic process. Qualitative research distinguished a sense of alarm and a sense of reassurance. However, not every GP trusted their gut feelings, since a scientific explanation is lacking.\nOBJECTIVE: This paper explains how gut feelings arise and function in GPs' diagnostic reasoning.\nAPPROACH: The paper reviews literature from medical, psychological and neuroscientific perspectives.\nCONCLUSIONS: Gut feelings in general practice are based on the interaction between patient information and a GP's knowledge and experience. This is visualized in a knowledge-based model of GPs' diagnostic reasoning emphasizing that this complex task combines analytical and non-analytical cognitive processes. The model integrates the two well-known diagnostic reasoning tracks of medical decision-making and medical problem-solving, and adds gut feelings as a third track. Analytical and non-analytical diagnostic reasoning interacts continuously, and GPs use elements of all three tracks, depending on the task and the situation. In this dual process theory, gut feelings emerge as a consequence of non-analytical processing of the available information and knowledge, either reassuring GPs or alerting them that something is wrong and action is required. The role of affect as a heuristic within the physician's knowledge network explains how gut feelings may help GPs to navigate in a mostly efficient way in the often complex and uncertain diagnostic situations of general practice. Emotion research and neuroscientific data support the unmistakable role of affect in the process of making decisions and explain the bodily sensation of gut feelings.The implications for health care practice and medical education are discussed.","citation-key":"stolperGutFeelingsThird2011","container-title":"Journal of General Internal Medicine","DOI":"10.1007/s11606-010-1524-5","ISSN":"1525-1497","issue":"2","journalAbbreviation":"J Gen Intern Med","language":"eng","page":"197-203","PMID":"20967509","PMCID":"PMC3019314","source":"PubMed","title":"Gut feelings as a third track in general practitioners' diagnostic reasoning","volume":"26","author":[{"family":"Stolper","given":"Erik"},{"family":"Van de Wiel","given":"Margje"},{"family":"Van Royen","given":"Paul"},{"family":"Van Bokhoven","given":"Marloes"},{"family":"Van der Weijden","given":"Trudy"},{"family":"Dinant","given":"Geert Jan"}],"issued":{"date-parts":[["2011",2]]}}},{"id":854,"uris":["http://zotero.org/groups/6193457/items/EXWM94JW"],"itemData":{"id":854,"type":"article-journal","abstract":"Background and objective\n              Intuition is an important part of human decision-making and can be explained by the dual-process theory where analytical and non-analytical reasoning processes continually interact. These processes can also be identified in physicians’ diagnostic reasoning. The valuable role of intuition, including gut feelings, has been shown among general practitioners and nurses, but less is known about its role among hospital specialists. This study focused on the diagnostic reasoning of hospital specialists, how they value, experience and use intuition.\n            \n            \n              Design and participants\n              Twenty-eight hospital specialists in the Netherlands and Belgium participated in six focus groups. The discussions were recorded, transcribed verbatim and thematically coded. A circular and iterative analysis was applied until data saturation was achieved.\n            \n            \n              Results\n              Despite initial reservations regarding the term intuition, all participants agreed that intuition plays an important role in their diagnostic reasoning process. Many agreed that intuition could guide them, but were cautious not to be misguided. They were especially cautious since intuition does not have probative force, for example, in medicolegal situations. ‘On-the-job experience’ was regarded as a precondition to relying on intuition. Some participants viewed intuition as non-rational and invalid. All participants said that intuitive hunches must be followed by analytical reasoning. Cultural differences were not found. Both the doctor as a person and his/her specialty were seen as important determinants for using intuition.\n            \n            \n              Conclusions\n              Hospital specialists use intuitive elements in their diagnostic reasoning, in line with general human decision-making models. Nevertheless, they appear to disagree more on its role and value than previous research has shown among general practitioners. A better understanding of how to take advantage of intuition, while avoiding pitfalls, and how to develop ‘skilled’ intuition may improve the quality of hospital specialists’ diagnostic reasoning.","citation-key":"vandenbrinkRoleIntuitiveKnowledge2019a","container-title":"BMJ Open","DOI":"10.1136/bmjopen-2018-022724","ISSN":"2044-6055, 2044-6055","issue":"1","journalAbbreviation":"BMJ Open","language":"en","page":"e022724","source":"DOI.org (Crossref)","title":"Role of intuitive knowledge in the diagnostic reasoning of hospital specialists: a focus group study","title-short":"Role of intuitive knowledge in the diagnostic reasoning of hospital specialists","volume":"9","author":[{"family":"Van Den Brink","given":"Nydia"},{"family":"Holbrechts","given":"Birgit"},{"family":"Brand","given":"Paul L P"},{"family":"Stolper","given":"Erik C F"},{"family":"Van Royen","given":"Paul"}],"issued":{"date-parts":[["2019",1]]}}}],"schema":"https://github.com/citation-style-language/schema/raw/master/csl-citation.json"} </w:instrText>
      </w:r>
      <w:r w:rsidR="00F55799">
        <w:rPr>
          <w:lang w:val="en-GB"/>
        </w:rPr>
        <w:fldChar w:fldCharType="separate"/>
      </w:r>
      <w:r w:rsidR="00947234" w:rsidRPr="00947234">
        <w:rPr>
          <w:rFonts w:cs="Calibri"/>
          <w:lang w:val="en-GB"/>
        </w:rPr>
        <w:t>(17,18)</w:t>
      </w:r>
      <w:r w:rsidR="00F55799">
        <w:rPr>
          <w:lang w:val="en-GB"/>
        </w:rPr>
        <w:fldChar w:fldCharType="end"/>
      </w:r>
      <w:r w:rsidRPr="003A5C64">
        <w:rPr>
          <w:lang w:val="en-GB"/>
        </w:rPr>
        <w:t>.</w:t>
      </w:r>
    </w:p>
    <w:p w14:paraId="07294990" w14:textId="77777777" w:rsidR="000D54FE" w:rsidRDefault="00DC6D1A">
      <w:pPr>
        <w:jc w:val="both"/>
      </w:pPr>
      <w:r>
        <w:t>We therefore (i) developed an ICU-LoS regression model from routinely collected data available within the first 24 hours of admission, (ii) interpreted the model to identify which early clinical signals drive the prediction, and (iii) validated it prospectively against independent senior-physician LoS estimates collected during routine care. Our central question is not whether ML can replace the clinician, but where in the clinical spectrum a model and a clinician each perform best — information that directly informs how such a tool should be deployed. The study is reported in accordance with the TRIPOD+AI statement.</w:t>
      </w:r>
    </w:p>
    <w:p w14:paraId="55F7DB9F" w14:textId="77777777" w:rsidR="000D54FE" w:rsidRDefault="00DC6D1A">
      <w:pPr>
        <w:pStyle w:val="berschrift1"/>
      </w:pPr>
      <w:r>
        <w:t>2. Methods</w:t>
      </w:r>
    </w:p>
    <w:p w14:paraId="20B15973" w14:textId="77777777" w:rsidR="000D54FE" w:rsidRDefault="00DC6D1A">
      <w:pPr>
        <w:pStyle w:val="berschrift2"/>
      </w:pPr>
      <w:r>
        <w:t>2.1 Study design and data source</w:t>
      </w:r>
    </w:p>
    <w:p w14:paraId="3727C29F" w14:textId="25347FD0" w:rsidR="001A47B3" w:rsidRPr="001A47B3" w:rsidRDefault="00DC6D1A" w:rsidP="001A47B3">
      <w:pPr>
        <w:jc w:val="both"/>
        <w:rPr>
          <w:lang w:val="en-GB"/>
        </w:rPr>
      </w:pPr>
      <w:r>
        <w:t xml:space="preserve">This was a single-centre prognostic-model study with retrospective development and a separate prospective evaluation. Data originated from the clinical information system of an anaesthesiology-run intensive-care department comprising three intensive-care units. The </w:t>
      </w:r>
      <w:r>
        <w:lastRenderedPageBreak/>
        <w:t>retrospective development cohort and the prospective evaluation cohort were drawn from the same three units, ensuring case-mix consistency between development and validation. Routinely documented laboratory results, vital signs, procedures (OPS codes), vascular-access records, diagnoses (ICD-10) and admission/administrative variables were linked at the level of the individual ICU stay.</w:t>
      </w:r>
      <w:r w:rsidR="001A47B3">
        <w:t xml:space="preserve"> </w:t>
      </w:r>
      <w:r w:rsidR="001A47B3" w:rsidRPr="001A47B3">
        <w:rPr>
          <w:lang w:val="en-GB"/>
        </w:rPr>
        <w:t>The local ethics committee approved and the study was registered (LMU Munich, Project No. 24-0336</w:t>
      </w:r>
      <w:r w:rsidR="001A47B3">
        <w:rPr>
          <w:lang w:val="en-GB"/>
        </w:rPr>
        <w:t>;R</w:t>
      </w:r>
      <w:r w:rsidR="001A47B3" w:rsidRPr="001A47B3">
        <w:rPr>
          <w:lang w:val="en-GB"/>
        </w:rPr>
        <w:t>egistry: DRKS00037851).</w:t>
      </w:r>
    </w:p>
    <w:p w14:paraId="4EC15FD3" w14:textId="0B621446" w:rsidR="000D54FE" w:rsidRPr="001A47B3" w:rsidRDefault="000D54FE">
      <w:pPr>
        <w:jc w:val="both"/>
        <w:rPr>
          <w:lang w:val="en-GB"/>
        </w:rPr>
      </w:pPr>
    </w:p>
    <w:p w14:paraId="6B8613B1" w14:textId="77777777" w:rsidR="000D54FE" w:rsidRDefault="00DC6D1A">
      <w:pPr>
        <w:pStyle w:val="berschrift2"/>
      </w:pPr>
      <w:r>
        <w:t>2.2 Participants and cohort definition</w:t>
      </w:r>
    </w:p>
    <w:p w14:paraId="11AE58AD" w14:textId="2749021A" w:rsidR="000D54FE" w:rsidRPr="00947234" w:rsidRDefault="00DC6D1A">
      <w:pPr>
        <w:jc w:val="both"/>
        <w:rPr>
          <w:lang w:val="en-GB"/>
        </w:rPr>
      </w:pPr>
      <w:r>
        <w:t xml:space="preserve">The development cohort comprised 12,884 adult ICU stays from 10,875 patients in the three target units. To predict a meaningful residual stay, analysis was restricted to stays lasting longer than one day. Where a patient had more than one ICU stay, all stays were retained, but patient identity was used to keep every patient entirely within either the training or the test partition (see Section 2.7), so that no patient contributed to both. The prospective cohort comprised all consecutive ICU stays during the prospective data-collection period for which an independent senior-physician LoS estimate had been recorded (n = 286). </w:t>
      </w:r>
      <w:r w:rsidR="00947234" w:rsidRPr="00947234">
        <w:rPr>
          <w:lang w:val="en-GB"/>
        </w:rPr>
        <w:t>The senior physicians also gave their prognosis within the first 24 hours after patient admission. They did not know the prognosis of the ML tool, but could otherwise use all information available to them.</w:t>
      </w:r>
    </w:p>
    <w:p w14:paraId="688CA38F" w14:textId="77777777" w:rsidR="000D54FE" w:rsidRPr="004708E0" w:rsidRDefault="00DC6D1A">
      <w:pPr>
        <w:pStyle w:val="berschrift2"/>
        <w:rPr>
          <w:lang w:val="en-GB"/>
        </w:rPr>
      </w:pPr>
      <w:r w:rsidRPr="004708E0">
        <w:rPr>
          <w:lang w:val="en-GB"/>
        </w:rPr>
        <w:t>2.3 Outcome</w:t>
      </w:r>
    </w:p>
    <w:p w14:paraId="766BA66C" w14:textId="33DFFAAD" w:rsidR="000D54FE" w:rsidRDefault="00DC6D1A">
      <w:pPr>
        <w:jc w:val="both"/>
      </w:pPr>
      <w:r>
        <w:t xml:space="preserve">The prediction target was the total ICU length of stay in days, computed from the recorded ICU duration in hours divided by 24. The distribution was right-skewed (median 2.9 days, 90th percentile 13.5 days, maximum 77 days). To stabilise variance and limit the leverage of extreme long-stay outliers during training, tree- and linear-model targets were modelled on the </w:t>
      </w:r>
      <w:r w:rsidR="0072389F">
        <w:t>log(1 + LoS)-</w:t>
      </w:r>
      <w:r>
        <w:t>scale</w:t>
      </w:r>
      <w:r w:rsidR="0072389F">
        <w:t>.</w:t>
      </w:r>
      <w:r>
        <w:t xml:space="preserve"> </w:t>
      </w:r>
      <w:r w:rsidR="0072389F">
        <w:t>Constant</w:t>
      </w:r>
      <w:r>
        <w:t xml:space="preserve"> 1 keeps the transform finite and monotonic for stays approaching zero and is exactly inverted by expm1 at prediction time, so all reported errors are on the original day scale. As a complementary approach that models the skew directly through its loss function rather than through a target transform, a Tweedie model was also fitted on the untransformed day scale (Section 2.6).</w:t>
      </w:r>
    </w:p>
    <w:p w14:paraId="1ADC78A5" w14:textId="77777777" w:rsidR="000D54FE" w:rsidRDefault="00DC6D1A">
      <w:pPr>
        <w:pStyle w:val="berschrift2"/>
      </w:pPr>
      <w:r>
        <w:t>2.4 Predictors</w:t>
      </w:r>
    </w:p>
    <w:p w14:paraId="170D0BB7" w14:textId="77777777" w:rsidR="000D54FE" w:rsidRDefault="00DC6D1A">
      <w:pPr>
        <w:jc w:val="both"/>
      </w:pPr>
      <w:r>
        <w:t>All predictors were restricted to information available within the first 24 hours after ICU admission, reflecting the intended use of the model as an early, end-of-day-1 bedside estimate. After feature preparation, 84 predictors across six clinical domains were used:</w:t>
      </w:r>
    </w:p>
    <w:p w14:paraId="6A8720AD" w14:textId="77777777" w:rsidR="000D54FE" w:rsidRDefault="00DC6D1A">
      <w:r>
        <w:rPr>
          <w:b/>
          <w:sz w:val="19"/>
        </w:rPr>
        <w:t>Table 1.</w:t>
      </w:r>
      <w:r>
        <w:rPr>
          <w:i/>
          <w:sz w:val="19"/>
        </w:rPr>
        <w:t xml:space="preserve">  Predictor domains used by the model (first-24-hour window).</w:t>
      </w:r>
    </w:p>
    <w:tbl>
      <w:tblPr>
        <w:tblStyle w:val="HellesRaster-Akzent1"/>
        <w:tblW w:w="0" w:type="auto"/>
        <w:jc w:val="center"/>
        <w:tblLook w:val="04A0" w:firstRow="1" w:lastRow="0" w:firstColumn="1" w:lastColumn="0" w:noHBand="0" w:noVBand="1"/>
      </w:tblPr>
      <w:tblGrid>
        <w:gridCol w:w="2880"/>
        <w:gridCol w:w="2880"/>
        <w:gridCol w:w="2880"/>
      </w:tblGrid>
      <w:tr w:rsidR="000D54FE" w14:paraId="5FAC8134"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5CFD8BB3" w14:textId="77777777" w:rsidR="000D54FE" w:rsidRDefault="00DC6D1A">
            <w:r>
              <w:rPr>
                <w:color w:val="FFFFFF"/>
                <w:sz w:val="19"/>
              </w:rPr>
              <w:t>Predictor domain</w:t>
            </w:r>
          </w:p>
        </w:tc>
        <w:tc>
          <w:tcPr>
            <w:tcW w:w="2880" w:type="dxa"/>
            <w:shd w:val="clear" w:color="auto" w:fill="1F4E79"/>
          </w:tcPr>
          <w:p w14:paraId="05E53FBA"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n</w:t>
            </w:r>
          </w:p>
        </w:tc>
        <w:tc>
          <w:tcPr>
            <w:tcW w:w="2880" w:type="dxa"/>
            <w:shd w:val="clear" w:color="auto" w:fill="1F4E79"/>
          </w:tcPr>
          <w:p w14:paraId="46CA730D"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Examples</w:t>
            </w:r>
          </w:p>
        </w:tc>
      </w:tr>
      <w:tr w:rsidR="000D54FE" w14:paraId="0DA999DC"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E58CAB" w14:textId="77777777" w:rsidR="000D54FE" w:rsidRDefault="00DC6D1A">
            <w:r>
              <w:rPr>
                <w:b w:val="0"/>
                <w:sz w:val="19"/>
              </w:rPr>
              <w:t>Laboratory (first 24 h)</w:t>
            </w:r>
          </w:p>
        </w:tc>
        <w:tc>
          <w:tcPr>
            <w:tcW w:w="2880" w:type="dxa"/>
          </w:tcPr>
          <w:p w14:paraId="3C5261B9"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30</w:t>
            </w:r>
          </w:p>
        </w:tc>
        <w:tc>
          <w:tcPr>
            <w:tcW w:w="2880" w:type="dxa"/>
          </w:tcPr>
          <w:p w14:paraId="3F7BDBBC"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POCT blood gas / electrolytes / glucose / lactate (first, last, min, max, mean, count)</w:t>
            </w:r>
          </w:p>
        </w:tc>
      </w:tr>
      <w:tr w:rsidR="000D54FE" w14:paraId="223D2585"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80493D" w14:textId="77777777" w:rsidR="000D54FE" w:rsidRDefault="00DC6D1A">
            <w:r>
              <w:rPr>
                <w:b w:val="0"/>
                <w:sz w:val="19"/>
              </w:rPr>
              <w:t>Diagnoses (ICD-10, main)</w:t>
            </w:r>
          </w:p>
        </w:tc>
        <w:tc>
          <w:tcPr>
            <w:tcW w:w="2880" w:type="dxa"/>
          </w:tcPr>
          <w:p w14:paraId="5A868B77"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24</w:t>
            </w:r>
          </w:p>
        </w:tc>
        <w:tc>
          <w:tcPr>
            <w:tcW w:w="2880" w:type="dxa"/>
          </w:tcPr>
          <w:p w14:paraId="76A13A0E"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e.g. ventilator dependence (Z99.1), hydrocephalus (G91.x)</w:t>
            </w:r>
          </w:p>
        </w:tc>
      </w:tr>
      <w:tr w:rsidR="000D54FE" w14:paraId="3727452E"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D531AA" w14:textId="77777777" w:rsidR="000D54FE" w:rsidRDefault="00DC6D1A">
            <w:r>
              <w:rPr>
                <w:b w:val="0"/>
                <w:sz w:val="19"/>
              </w:rPr>
              <w:lastRenderedPageBreak/>
              <w:t>Procedures (OPS, first 24 h)</w:t>
            </w:r>
          </w:p>
        </w:tc>
        <w:tc>
          <w:tcPr>
            <w:tcW w:w="2880" w:type="dxa"/>
          </w:tcPr>
          <w:p w14:paraId="73DF122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13</w:t>
            </w:r>
          </w:p>
        </w:tc>
        <w:tc>
          <w:tcPr>
            <w:tcW w:w="2880" w:type="dxa"/>
          </w:tcPr>
          <w:p w14:paraId="4FC7983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ICU complex treatment (8-98f.x), haemodynamic monitoring (8-93x)</w:t>
            </w:r>
          </w:p>
        </w:tc>
      </w:tr>
      <w:tr w:rsidR="000D54FE" w14:paraId="5E95609D"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95CF52" w14:textId="77777777" w:rsidR="000D54FE" w:rsidRDefault="00DC6D1A">
            <w:r>
              <w:rPr>
                <w:b w:val="0"/>
                <w:sz w:val="19"/>
              </w:rPr>
              <w:t>Vascular access (first 24 h)</w:t>
            </w:r>
          </w:p>
        </w:tc>
        <w:tc>
          <w:tcPr>
            <w:tcW w:w="2880" w:type="dxa"/>
          </w:tcPr>
          <w:p w14:paraId="263F864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8</w:t>
            </w:r>
          </w:p>
        </w:tc>
        <w:tc>
          <w:tcPr>
            <w:tcW w:w="2880" w:type="dxa"/>
          </w:tcPr>
          <w:p w14:paraId="6E0F5DF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central venous / arterial catheters, urinary catheter (presence + count)</w:t>
            </w:r>
          </w:p>
        </w:tc>
      </w:tr>
      <w:tr w:rsidR="000D54FE" w14:paraId="42969384"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3A85FBF" w14:textId="77777777" w:rsidR="000D54FE" w:rsidRDefault="00DC6D1A">
            <w:r>
              <w:rPr>
                <w:b w:val="0"/>
                <w:sz w:val="19"/>
              </w:rPr>
              <w:t>Vital signs (first 24 h)</w:t>
            </w:r>
          </w:p>
        </w:tc>
        <w:tc>
          <w:tcPr>
            <w:tcW w:w="2880" w:type="dxa"/>
          </w:tcPr>
          <w:p w14:paraId="0D6DEDC5"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6</w:t>
            </w:r>
          </w:p>
        </w:tc>
        <w:tc>
          <w:tcPr>
            <w:tcW w:w="2880" w:type="dxa"/>
          </w:tcPr>
          <w:p w14:paraId="4D4747B4"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SpO₂ (first, min, max, mean, count)</w:t>
            </w:r>
          </w:p>
        </w:tc>
      </w:tr>
      <w:tr w:rsidR="000D54FE" w14:paraId="4FFCEC2C"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A6019A" w14:textId="77777777" w:rsidR="000D54FE" w:rsidRDefault="00DC6D1A">
            <w:r>
              <w:rPr>
                <w:b w:val="0"/>
                <w:sz w:val="19"/>
              </w:rPr>
              <w:t>Demographics / admission</w:t>
            </w:r>
          </w:p>
        </w:tc>
        <w:tc>
          <w:tcPr>
            <w:tcW w:w="2880" w:type="dxa"/>
          </w:tcPr>
          <w:p w14:paraId="6C9831D5"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3</w:t>
            </w:r>
          </w:p>
        </w:tc>
        <w:tc>
          <w:tcPr>
            <w:tcW w:w="2880" w:type="dxa"/>
          </w:tcPr>
          <w:p w14:paraId="25BC9DC2"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age, ICU stay number, care-unit type</w:t>
            </w:r>
          </w:p>
        </w:tc>
      </w:tr>
    </w:tbl>
    <w:p w14:paraId="34FD45E0" w14:textId="77777777" w:rsidR="000D54FE" w:rsidRDefault="00DC6D1A">
      <w:pPr>
        <w:jc w:val="both"/>
      </w:pPr>
      <w:r>
        <w:rPr>
          <w:sz w:val="20"/>
        </w:rPr>
        <w:t>Continuous laboratory and vital-sign signals were summarised within the 24-hour window by their first, last, minimum, maximum, mean and measurement-count values; procedures, vascular-access items and main diagnoses entered the model as presence indicators (with overall counts).</w:t>
      </w:r>
    </w:p>
    <w:p w14:paraId="736E7FCF" w14:textId="77777777" w:rsidR="000D54FE" w:rsidRDefault="00DC6D1A">
      <w:pPr>
        <w:pStyle w:val="berschrift2"/>
      </w:pPr>
      <w:r>
        <w:t>2.5 Missing data and repeated measurements</w:t>
      </w:r>
    </w:p>
    <w:p w14:paraId="712A1571" w14:textId="77777777" w:rsidR="000D54FE" w:rsidRDefault="00DC6D1A">
      <w:pPr>
        <w:jc w:val="both"/>
      </w:pPr>
      <w:r>
        <w:t>Missing numeric predictors were imputed with the training-set median and missing categorical predictors with the most frequent category, both fitted only on the training partition and then applied unchanged to the test and prospective data to avoid information leakage from evaluation data. Repeated within-stay measurements were collapsed to the summary statistics described in Section 2.4. Where a single prospective stay carried more than one senior-physician estimate (5 of the matched stays), the estimate closest to the observed outcome was used; this favours the clinician marginally and therefore makes the comparison conservative with respect to the model.</w:t>
      </w:r>
    </w:p>
    <w:p w14:paraId="768589F5" w14:textId="77777777" w:rsidR="000D54FE" w:rsidRDefault="00DC6D1A">
      <w:pPr>
        <w:pStyle w:val="berschrift2"/>
      </w:pPr>
      <w:r>
        <w:t>2.6 Model development</w:t>
      </w:r>
    </w:p>
    <w:p w14:paraId="7C0A6A38" w14:textId="77777777" w:rsidR="000D54FE" w:rsidRDefault="00DC6D1A">
      <w:pPr>
        <w:jc w:val="both"/>
      </w:pPr>
      <w:r>
        <w:t>Five regression models spanning linear, bagged-tree, boosted-tree and distribution-specific families were trained on identical training data through a common preprocessing pipeline (imputation, one-hot encoding of the single categorical predictor, and standardisation for the linear model only):</w:t>
      </w:r>
    </w:p>
    <w:p w14:paraId="3699EE0A" w14:textId="3CA4A138" w:rsidR="000D54FE" w:rsidRDefault="00DC6D1A">
      <w:pPr>
        <w:pStyle w:val="Aufzhlungszeichen"/>
      </w:pPr>
      <w:r>
        <w:rPr>
          <w:b/>
          <w:sz w:val="21"/>
        </w:rPr>
        <w:t xml:space="preserve">Ridge regression: </w:t>
      </w:r>
      <w:r>
        <w:rPr>
          <w:sz w:val="21"/>
        </w:rPr>
        <w:t>L2-regularised linear baseline (</w:t>
      </w:r>
      <w:r w:rsidR="00C567E9" w:rsidRPr="00C567E9">
        <w:rPr>
          <w:sz w:val="21"/>
        </w:rPr>
        <w:t>log(1 + LoS)</w:t>
      </w:r>
      <w:r w:rsidR="00C567E9">
        <w:rPr>
          <w:sz w:val="21"/>
        </w:rPr>
        <w:t>-</w:t>
      </w:r>
      <w:r>
        <w:rPr>
          <w:sz w:val="21"/>
        </w:rPr>
        <w:t>target, standardised inputs).</w:t>
      </w:r>
    </w:p>
    <w:p w14:paraId="4A4DCDAC" w14:textId="7892C386" w:rsidR="000D54FE" w:rsidRDefault="00DC6D1A">
      <w:pPr>
        <w:pStyle w:val="Aufzhlungszeichen"/>
      </w:pPr>
      <w:r>
        <w:rPr>
          <w:b/>
          <w:sz w:val="21"/>
        </w:rPr>
        <w:t xml:space="preserve">Random forest: </w:t>
      </w:r>
      <w:r>
        <w:rPr>
          <w:sz w:val="21"/>
        </w:rPr>
        <w:t>bagged regression trees (</w:t>
      </w:r>
      <w:r w:rsidR="00C567E9" w:rsidRPr="00C567E9">
        <w:rPr>
          <w:sz w:val="21"/>
        </w:rPr>
        <w:t>log(1 + LoS)</w:t>
      </w:r>
      <w:r w:rsidR="00C567E9">
        <w:rPr>
          <w:sz w:val="21"/>
        </w:rPr>
        <w:t>-</w:t>
      </w:r>
      <w:r>
        <w:rPr>
          <w:sz w:val="21"/>
        </w:rPr>
        <w:t>target).</w:t>
      </w:r>
    </w:p>
    <w:p w14:paraId="25D829BC" w14:textId="266172C8" w:rsidR="000D54FE" w:rsidRDefault="00DC6D1A">
      <w:pPr>
        <w:pStyle w:val="Aufzhlungszeichen"/>
      </w:pPr>
      <w:r>
        <w:rPr>
          <w:b/>
          <w:sz w:val="21"/>
        </w:rPr>
        <w:t xml:space="preserve">Extremely randomized trees (Extra Trees): </w:t>
      </w:r>
      <w:r>
        <w:rPr>
          <w:sz w:val="21"/>
        </w:rPr>
        <w:t>bagged trees with randomized split thresholds (</w:t>
      </w:r>
      <w:r w:rsidR="00C567E9" w:rsidRPr="00C567E9">
        <w:rPr>
          <w:sz w:val="21"/>
        </w:rPr>
        <w:t>log(1 + LoS)</w:t>
      </w:r>
      <w:r w:rsidR="00C567E9">
        <w:rPr>
          <w:sz w:val="21"/>
        </w:rPr>
        <w:t>-target</w:t>
      </w:r>
      <w:r>
        <w:rPr>
          <w:sz w:val="21"/>
        </w:rPr>
        <w:t>).</w:t>
      </w:r>
    </w:p>
    <w:p w14:paraId="70C5DA80" w14:textId="43901970" w:rsidR="000D54FE" w:rsidRDefault="00DC6D1A">
      <w:pPr>
        <w:pStyle w:val="Aufzhlungszeichen"/>
      </w:pPr>
      <w:r>
        <w:rPr>
          <w:b/>
          <w:sz w:val="21"/>
        </w:rPr>
        <w:t xml:space="preserve">Gradient-boosted trees (XGBoost): </w:t>
      </w:r>
      <w:r>
        <w:rPr>
          <w:sz w:val="21"/>
        </w:rPr>
        <w:t>boosted trees with squared-error objective (</w:t>
      </w:r>
      <w:r w:rsidR="00C567E9" w:rsidRPr="00C567E9">
        <w:rPr>
          <w:sz w:val="21"/>
        </w:rPr>
        <w:t>log(1 + LoS)</w:t>
      </w:r>
      <w:r w:rsidR="00C567E9">
        <w:rPr>
          <w:sz w:val="21"/>
        </w:rPr>
        <w:t>-target</w:t>
      </w:r>
      <w:r>
        <w:rPr>
          <w:sz w:val="21"/>
        </w:rPr>
        <w:t>).</w:t>
      </w:r>
    </w:p>
    <w:p w14:paraId="715C4C18" w14:textId="77777777" w:rsidR="000D54FE" w:rsidRDefault="00DC6D1A">
      <w:pPr>
        <w:pStyle w:val="Aufzhlungszeichen"/>
      </w:pPr>
      <w:r>
        <w:rPr>
          <w:b/>
          <w:sz w:val="21"/>
        </w:rPr>
        <w:t xml:space="preserve">Tweedie model: </w:t>
      </w:r>
      <w:r>
        <w:rPr>
          <w:sz w:val="21"/>
        </w:rPr>
        <w:t>gradient-boosted trees with a Tweedie deviance objective on the untransformed day scale, modelling the skewed, semi-continuous LoS distribution directly through its compound-Poisson–gamma loss (variance-power parameter tuned).</w:t>
      </w:r>
    </w:p>
    <w:p w14:paraId="7CE02EA0" w14:textId="77777777" w:rsidR="000D54FE" w:rsidRDefault="00DC6D1A">
      <w:pPr>
        <w:pStyle w:val="berschrift2"/>
      </w:pPr>
      <w:r>
        <w:t>2.7 Hyperparameter tuning and model selection</w:t>
      </w:r>
    </w:p>
    <w:p w14:paraId="3F699E58" w14:textId="77777777" w:rsidR="000D54FE" w:rsidRDefault="00DC6D1A">
      <w:pPr>
        <w:jc w:val="both"/>
      </w:pPr>
      <w:r>
        <w:t>The development cohort was split into a training set (n = 10,283) and a held-out test set (n = 2,601) using a patient-grouped split so that all stays of any given patient fell in only one partition. Hyperparameters were tuned within the training set by 4-fold patient-grouped cross-</w:t>
      </w:r>
      <w:r>
        <w:lastRenderedPageBreak/>
        <w:t>validation (GroupKFold on patient identity), optimising the negative mean absolute error; ridge regression used an exhaustive grid and the tree/boosting models used randomized search. The final model was pre-specified as the candidate with the lowest cross-validated MAE, and was refitted on the full training set and evaluated once on the untouched test set. Tuned configurations are reported in Table 2.</w:t>
      </w:r>
    </w:p>
    <w:p w14:paraId="51EC774D" w14:textId="77777777" w:rsidR="000D54FE" w:rsidRDefault="00DC6D1A">
      <w:r>
        <w:rPr>
          <w:b/>
          <w:sz w:val="19"/>
        </w:rPr>
        <w:t>Table 2.</w:t>
      </w:r>
      <w:r>
        <w:rPr>
          <w:i/>
          <w:sz w:val="19"/>
        </w:rPr>
        <w:t xml:space="preserve">  Candidate models, tuned hyperparameters and patient-grouped cross-validated MAE (lowest CV-MAE pre-specified as final).</w:t>
      </w:r>
    </w:p>
    <w:tbl>
      <w:tblPr>
        <w:tblStyle w:val="HellesRaster-Akzent1"/>
        <w:tblW w:w="0" w:type="auto"/>
        <w:jc w:val="center"/>
        <w:tblLook w:val="04A0" w:firstRow="1" w:lastRow="0" w:firstColumn="1" w:lastColumn="0" w:noHBand="0" w:noVBand="1"/>
      </w:tblPr>
      <w:tblGrid>
        <w:gridCol w:w="2160"/>
        <w:gridCol w:w="2160"/>
        <w:gridCol w:w="2160"/>
        <w:gridCol w:w="2160"/>
      </w:tblGrid>
      <w:tr w:rsidR="000D54FE" w14:paraId="1B46082E"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1F4E79"/>
          </w:tcPr>
          <w:p w14:paraId="77A99CEF" w14:textId="77777777" w:rsidR="000D54FE" w:rsidRDefault="00DC6D1A">
            <w:r>
              <w:rPr>
                <w:color w:val="FFFFFF"/>
                <w:sz w:val="19"/>
              </w:rPr>
              <w:t>Model</w:t>
            </w:r>
          </w:p>
        </w:tc>
        <w:tc>
          <w:tcPr>
            <w:tcW w:w="2160" w:type="dxa"/>
            <w:shd w:val="clear" w:color="auto" w:fill="1F4E79"/>
          </w:tcPr>
          <w:p w14:paraId="40F68678"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Target / objective</w:t>
            </w:r>
          </w:p>
        </w:tc>
        <w:tc>
          <w:tcPr>
            <w:tcW w:w="2160" w:type="dxa"/>
            <w:shd w:val="clear" w:color="auto" w:fill="1F4E79"/>
          </w:tcPr>
          <w:p w14:paraId="4C9176FF"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Tuned hyperparameters</w:t>
            </w:r>
          </w:p>
        </w:tc>
        <w:tc>
          <w:tcPr>
            <w:tcW w:w="2160" w:type="dxa"/>
            <w:shd w:val="clear" w:color="auto" w:fill="1F4E79"/>
          </w:tcPr>
          <w:p w14:paraId="038EE078"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CV-MAE (d)</w:t>
            </w:r>
          </w:p>
        </w:tc>
      </w:tr>
      <w:tr w:rsidR="000D54FE" w14:paraId="5BC51546"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B4831B" w14:textId="77777777" w:rsidR="000D54FE" w:rsidRDefault="00DC6D1A">
            <w:r>
              <w:rPr>
                <w:b w:val="0"/>
                <w:sz w:val="19"/>
              </w:rPr>
              <w:t>Extra Trees (final)</w:t>
            </w:r>
          </w:p>
        </w:tc>
        <w:tc>
          <w:tcPr>
            <w:tcW w:w="2160" w:type="dxa"/>
          </w:tcPr>
          <w:p w14:paraId="70169E10" w14:textId="250B2101" w:rsidR="000D54FE" w:rsidRDefault="0072389F">
            <w:pPr>
              <w:jc w:val="center"/>
              <w:cnfStyle w:val="000000100000" w:firstRow="0" w:lastRow="0" w:firstColumn="0" w:lastColumn="0" w:oddVBand="0" w:evenVBand="0" w:oddHBand="1" w:evenHBand="0" w:firstRowFirstColumn="0" w:firstRowLastColumn="0" w:lastRowFirstColumn="0" w:lastRowLastColumn="0"/>
            </w:pPr>
            <w:r w:rsidRPr="0072389F">
              <w:rPr>
                <w:sz w:val="19"/>
              </w:rPr>
              <w:t>log(1 + LoS)</w:t>
            </w:r>
            <w:r w:rsidR="00DC6D1A">
              <w:rPr>
                <w:sz w:val="19"/>
              </w:rPr>
              <w:t xml:space="preserve"> / squared error</w:t>
            </w:r>
          </w:p>
        </w:tc>
        <w:tc>
          <w:tcPr>
            <w:tcW w:w="2160" w:type="dxa"/>
          </w:tcPr>
          <w:p w14:paraId="2EBAC44C"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300 trees, max_depth None, min_leaf 5, max_features 0.5</w:t>
            </w:r>
          </w:p>
        </w:tc>
        <w:tc>
          <w:tcPr>
            <w:tcW w:w="2160" w:type="dxa"/>
          </w:tcPr>
          <w:p w14:paraId="4E09747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2.826</w:t>
            </w:r>
          </w:p>
        </w:tc>
      </w:tr>
      <w:tr w:rsidR="000D54FE" w14:paraId="46E992A7"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2CE12CB" w14:textId="77777777" w:rsidR="000D54FE" w:rsidRDefault="00DC6D1A">
            <w:r>
              <w:rPr>
                <w:b w:val="0"/>
                <w:sz w:val="19"/>
              </w:rPr>
              <w:t>Random forest</w:t>
            </w:r>
          </w:p>
        </w:tc>
        <w:tc>
          <w:tcPr>
            <w:tcW w:w="2160" w:type="dxa"/>
          </w:tcPr>
          <w:p w14:paraId="26B3D2F5" w14:textId="2F56EAAB" w:rsidR="000D54FE" w:rsidRDefault="0072389F">
            <w:pPr>
              <w:jc w:val="center"/>
              <w:cnfStyle w:val="000000010000" w:firstRow="0" w:lastRow="0" w:firstColumn="0" w:lastColumn="0" w:oddVBand="0" w:evenVBand="0" w:oddHBand="0" w:evenHBand="1" w:firstRowFirstColumn="0" w:firstRowLastColumn="0" w:lastRowFirstColumn="0" w:lastRowLastColumn="0"/>
            </w:pPr>
            <w:r w:rsidRPr="0072389F">
              <w:rPr>
                <w:sz w:val="19"/>
              </w:rPr>
              <w:t>log(1 + LoS)</w:t>
            </w:r>
            <w:r>
              <w:rPr>
                <w:sz w:val="19"/>
              </w:rPr>
              <w:t xml:space="preserve"> </w:t>
            </w:r>
            <w:r w:rsidR="00DC6D1A">
              <w:rPr>
                <w:sz w:val="19"/>
              </w:rPr>
              <w:t xml:space="preserve"> / squared error</w:t>
            </w:r>
          </w:p>
        </w:tc>
        <w:tc>
          <w:tcPr>
            <w:tcW w:w="2160" w:type="dxa"/>
          </w:tcPr>
          <w:p w14:paraId="5BB0D958"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500 trees, max_depth 20, min_leaf 2, max_features 0.5</w:t>
            </w:r>
          </w:p>
        </w:tc>
        <w:tc>
          <w:tcPr>
            <w:tcW w:w="2160" w:type="dxa"/>
          </w:tcPr>
          <w:p w14:paraId="2A8EE4B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2.833</w:t>
            </w:r>
          </w:p>
        </w:tc>
      </w:tr>
      <w:tr w:rsidR="000D54FE" w14:paraId="19C146AA"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ABFDC4" w14:textId="77777777" w:rsidR="000D54FE" w:rsidRDefault="00DC6D1A">
            <w:r>
              <w:rPr>
                <w:b w:val="0"/>
                <w:sz w:val="19"/>
              </w:rPr>
              <w:t>Gradient-boosted trees</w:t>
            </w:r>
          </w:p>
        </w:tc>
        <w:tc>
          <w:tcPr>
            <w:tcW w:w="2160" w:type="dxa"/>
          </w:tcPr>
          <w:p w14:paraId="26330DAA" w14:textId="25B1702F" w:rsidR="000D54FE" w:rsidRDefault="0072389F">
            <w:pPr>
              <w:jc w:val="center"/>
              <w:cnfStyle w:val="000000100000" w:firstRow="0" w:lastRow="0" w:firstColumn="0" w:lastColumn="0" w:oddVBand="0" w:evenVBand="0" w:oddHBand="1" w:evenHBand="0" w:firstRowFirstColumn="0" w:firstRowLastColumn="0" w:lastRowFirstColumn="0" w:lastRowLastColumn="0"/>
            </w:pPr>
            <w:r w:rsidRPr="0072389F">
              <w:rPr>
                <w:sz w:val="19"/>
              </w:rPr>
              <w:t xml:space="preserve">log(1 + LoS) </w:t>
            </w:r>
            <w:r w:rsidR="00DC6D1A">
              <w:rPr>
                <w:sz w:val="19"/>
              </w:rPr>
              <w:t xml:space="preserve"> / squared error</w:t>
            </w:r>
          </w:p>
        </w:tc>
        <w:tc>
          <w:tcPr>
            <w:tcW w:w="2160" w:type="dxa"/>
          </w:tcPr>
          <w:p w14:paraId="0F9FF4D9"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500 trees, depth 8, lr 0.05, subsample 0.9, colsample 0.9, min_child_wt 1, λ 5</w:t>
            </w:r>
          </w:p>
        </w:tc>
        <w:tc>
          <w:tcPr>
            <w:tcW w:w="2160" w:type="dxa"/>
          </w:tcPr>
          <w:p w14:paraId="0680E441"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2.845</w:t>
            </w:r>
          </w:p>
        </w:tc>
      </w:tr>
      <w:tr w:rsidR="000D54FE" w14:paraId="610B4C55"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6C0B250" w14:textId="77777777" w:rsidR="000D54FE" w:rsidRDefault="00DC6D1A">
            <w:r>
              <w:rPr>
                <w:b w:val="0"/>
                <w:sz w:val="19"/>
              </w:rPr>
              <w:t>Tweedie model</w:t>
            </w:r>
          </w:p>
        </w:tc>
        <w:tc>
          <w:tcPr>
            <w:tcW w:w="2160" w:type="dxa"/>
          </w:tcPr>
          <w:p w14:paraId="498576A3" w14:textId="0AFB20F0" w:rsidR="000D54FE" w:rsidRDefault="0072389F">
            <w:pPr>
              <w:jc w:val="center"/>
              <w:cnfStyle w:val="000000010000" w:firstRow="0" w:lastRow="0" w:firstColumn="0" w:lastColumn="0" w:oddVBand="0" w:evenVBand="0" w:oddHBand="0" w:evenHBand="1" w:firstRowFirstColumn="0" w:firstRowLastColumn="0" w:lastRowFirstColumn="0" w:lastRowLastColumn="0"/>
            </w:pPr>
            <w:r w:rsidRPr="0072389F">
              <w:rPr>
                <w:sz w:val="19"/>
              </w:rPr>
              <w:t>log(1 + LoS)</w:t>
            </w:r>
            <w:r>
              <w:rPr>
                <w:sz w:val="19"/>
              </w:rPr>
              <w:t xml:space="preserve"> </w:t>
            </w:r>
            <w:r w:rsidR="00DC6D1A">
              <w:rPr>
                <w:sz w:val="19"/>
              </w:rPr>
              <w:t xml:space="preserve"> / Tweedie deviance</w:t>
            </w:r>
          </w:p>
        </w:tc>
        <w:tc>
          <w:tcPr>
            <w:tcW w:w="2160" w:type="dxa"/>
          </w:tcPr>
          <w:p w14:paraId="2025214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variance power 1.2, 800 trees, depth 8, lr 0.03, subsample 0.9, colsample 0.9</w:t>
            </w:r>
          </w:p>
        </w:tc>
        <w:tc>
          <w:tcPr>
            <w:tcW w:w="2160" w:type="dxa"/>
          </w:tcPr>
          <w:p w14:paraId="4B7BA23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2.870</w:t>
            </w:r>
          </w:p>
        </w:tc>
      </w:tr>
      <w:tr w:rsidR="000D54FE" w14:paraId="0F5BC367"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7C3ABD" w14:textId="77777777" w:rsidR="000D54FE" w:rsidRDefault="00DC6D1A">
            <w:r>
              <w:rPr>
                <w:b w:val="0"/>
                <w:sz w:val="19"/>
              </w:rPr>
              <w:t>Ridge regression</w:t>
            </w:r>
          </w:p>
        </w:tc>
        <w:tc>
          <w:tcPr>
            <w:tcW w:w="2160" w:type="dxa"/>
          </w:tcPr>
          <w:p w14:paraId="7DE620AD" w14:textId="6ADB6CA4" w:rsidR="000D54FE" w:rsidRDefault="0072389F">
            <w:pPr>
              <w:jc w:val="center"/>
              <w:cnfStyle w:val="000000100000" w:firstRow="0" w:lastRow="0" w:firstColumn="0" w:lastColumn="0" w:oddVBand="0" w:evenVBand="0" w:oddHBand="1" w:evenHBand="0" w:firstRowFirstColumn="0" w:firstRowLastColumn="0" w:lastRowFirstColumn="0" w:lastRowLastColumn="0"/>
            </w:pPr>
            <w:r w:rsidRPr="0072389F">
              <w:rPr>
                <w:sz w:val="19"/>
              </w:rPr>
              <w:t>log(1 + LoS)</w:t>
            </w:r>
            <w:r>
              <w:rPr>
                <w:sz w:val="19"/>
              </w:rPr>
              <w:t xml:space="preserve"> </w:t>
            </w:r>
            <w:r w:rsidR="00DC6D1A">
              <w:rPr>
                <w:sz w:val="19"/>
              </w:rPr>
              <w:t xml:space="preserve"> / squared error</w:t>
            </w:r>
          </w:p>
        </w:tc>
        <w:tc>
          <w:tcPr>
            <w:tcW w:w="2160" w:type="dxa"/>
          </w:tcPr>
          <w:p w14:paraId="008079A6"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alpha = 0.1</w:t>
            </w:r>
          </w:p>
        </w:tc>
        <w:tc>
          <w:tcPr>
            <w:tcW w:w="2160" w:type="dxa"/>
          </w:tcPr>
          <w:p w14:paraId="5BC77EE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3.069</w:t>
            </w:r>
          </w:p>
        </w:tc>
      </w:tr>
    </w:tbl>
    <w:p w14:paraId="4E640BCD" w14:textId="77777777" w:rsidR="000D54FE" w:rsidRDefault="00DC6D1A">
      <w:pPr>
        <w:pStyle w:val="berschrift2"/>
      </w:pPr>
      <w:r>
        <w:t>2.8 Prospective evaluation design</w:t>
      </w:r>
    </w:p>
    <w:p w14:paraId="7D0042E0" w14:textId="20D7A91B" w:rsidR="00947234" w:rsidRDefault="00DC6D1A">
      <w:pPr>
        <w:jc w:val="both"/>
      </w:pPr>
      <w:r>
        <w:t>The frozen final model — together with the four other tuned candidates for reference — was applied to the prospective cohort. First-24-hour predictors were reconstructed for each prospective stay from the raw clinical source data using exactly the feature definitions of the development pipeline. Each prospective stay was matched to its independent senior-physician LoS estimate recorded during routine care. The physician estimate and the model prediction were thus compared head-to-head against the same observed outcome for every stay, yielding one (observed, predicted) pair per stay for each estimator</w:t>
      </w:r>
      <w:r w:rsidR="00947234">
        <w:t xml:space="preserve"> (see Figure 1)</w:t>
      </w:r>
      <w:r>
        <w:t>.</w:t>
      </w:r>
      <w:r w:rsidR="00674630" w:rsidRPr="00674630">
        <w:t xml:space="preserve"> </w:t>
      </w:r>
    </w:p>
    <w:p w14:paraId="0E1278EC" w14:textId="06F68A27" w:rsidR="00947234" w:rsidRPr="00947234" w:rsidRDefault="00947234" w:rsidP="00947234">
      <w:pPr>
        <w:pStyle w:val="Beschriftung"/>
        <w:keepNext/>
        <w:jc w:val="both"/>
        <w:rPr>
          <w:b w:val="0"/>
          <w:bCs w:val="0"/>
          <w:i/>
          <w:iCs/>
          <w:color w:val="auto"/>
          <w:sz w:val="19"/>
          <w:szCs w:val="19"/>
          <w:lang w:val="en-GB"/>
        </w:rPr>
      </w:pPr>
      <w:r w:rsidRPr="00947234">
        <w:rPr>
          <w:b w:val="0"/>
          <w:bCs w:val="0"/>
          <w:i/>
          <w:iCs/>
          <w:color w:val="auto"/>
          <w:sz w:val="19"/>
          <w:szCs w:val="19"/>
          <w:lang w:val="en-GB"/>
        </w:rPr>
        <w:lastRenderedPageBreak/>
        <w:t xml:space="preserve">Figure </w:t>
      </w:r>
      <w:r w:rsidRPr="00947234">
        <w:rPr>
          <w:b w:val="0"/>
          <w:bCs w:val="0"/>
          <w:i/>
          <w:iCs/>
          <w:color w:val="auto"/>
          <w:sz w:val="19"/>
          <w:szCs w:val="19"/>
        </w:rPr>
        <w:fldChar w:fldCharType="begin"/>
      </w:r>
      <w:r w:rsidRPr="00947234">
        <w:rPr>
          <w:b w:val="0"/>
          <w:bCs w:val="0"/>
          <w:i/>
          <w:iCs/>
          <w:color w:val="auto"/>
          <w:sz w:val="19"/>
          <w:szCs w:val="19"/>
          <w:lang w:val="en-GB"/>
        </w:rPr>
        <w:instrText xml:space="preserve"> SEQ Figure \* ARABIC </w:instrText>
      </w:r>
      <w:r w:rsidRPr="00947234">
        <w:rPr>
          <w:b w:val="0"/>
          <w:bCs w:val="0"/>
          <w:i/>
          <w:iCs/>
          <w:color w:val="auto"/>
          <w:sz w:val="19"/>
          <w:szCs w:val="19"/>
        </w:rPr>
        <w:fldChar w:fldCharType="separate"/>
      </w:r>
      <w:r>
        <w:rPr>
          <w:b w:val="0"/>
          <w:bCs w:val="0"/>
          <w:i/>
          <w:iCs/>
          <w:noProof/>
          <w:color w:val="auto"/>
          <w:sz w:val="19"/>
          <w:szCs w:val="19"/>
          <w:lang w:val="en-GB"/>
        </w:rPr>
        <w:t>1</w:t>
      </w:r>
      <w:r w:rsidRPr="00947234">
        <w:rPr>
          <w:b w:val="0"/>
          <w:bCs w:val="0"/>
          <w:i/>
          <w:iCs/>
          <w:color w:val="auto"/>
          <w:sz w:val="19"/>
          <w:szCs w:val="19"/>
        </w:rPr>
        <w:fldChar w:fldCharType="end"/>
      </w:r>
      <w:r w:rsidRPr="00947234">
        <w:rPr>
          <w:b w:val="0"/>
          <w:bCs w:val="0"/>
          <w:i/>
          <w:iCs/>
          <w:color w:val="auto"/>
          <w:sz w:val="19"/>
          <w:szCs w:val="19"/>
          <w:lang w:val="en-GB"/>
        </w:rPr>
        <w:t>: Presentation of the retrospective and prospective dataset</w:t>
      </w:r>
    </w:p>
    <w:p w14:paraId="6F2598F4" w14:textId="347B65E1" w:rsidR="000D54FE" w:rsidRDefault="00674630">
      <w:pPr>
        <w:jc w:val="both"/>
      </w:pPr>
      <w:r>
        <w:rPr>
          <w:noProof/>
        </w:rPr>
        <w:drawing>
          <wp:inline distT="0" distB="0" distL="0" distR="0" wp14:anchorId="7DF91549" wp14:editId="5E988A15">
            <wp:extent cx="5730240" cy="4828921"/>
            <wp:effectExtent l="0" t="0" r="3810" b="0"/>
            <wp:docPr id="4864459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708" cy="4831843"/>
                    </a:xfrm>
                    <a:prstGeom prst="rect">
                      <a:avLst/>
                    </a:prstGeom>
                    <a:noFill/>
                    <a:ln>
                      <a:noFill/>
                    </a:ln>
                  </pic:spPr>
                </pic:pic>
              </a:graphicData>
            </a:graphic>
          </wp:inline>
        </w:drawing>
      </w:r>
    </w:p>
    <w:p w14:paraId="1069AE8C" w14:textId="77777777" w:rsidR="000D54FE" w:rsidRDefault="00DC6D1A">
      <w:pPr>
        <w:pStyle w:val="berschrift2"/>
      </w:pPr>
      <w:r>
        <w:t>2.9 Performance metrics and statistical analysis</w:t>
      </w:r>
    </w:p>
    <w:p w14:paraId="4159E589" w14:textId="2BE28B24" w:rsidR="000D54FE" w:rsidRPr="00741832" w:rsidRDefault="00DC6D1A">
      <w:pPr>
        <w:jc w:val="both"/>
      </w:pPr>
      <w:r>
        <w:t>Discrimination/accuracy was summarised by the mean absolute error</w:t>
      </w:r>
      <w:r w:rsidR="00741832">
        <w:t xml:space="preserve"> </w:t>
      </w:r>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e>
            </m:d>
          </m:e>
        </m:nary>
      </m:oMath>
      <w:r>
        <w:t>, the median absolute error, the root-mean-square error, the coefficient of determination (R²) and the mean signed error (bias), all on the day scale. For the prospective head-to-head comparison we tested whether any model was significantly more accurate than the senior physician (superiority, not mere difference). For each stay we formed the paired absolute-error difference (|error_physician| − |error_model|); a one-sided Wilcoxon signed-rank test assessed the alternative that the model error is smaller, and a paired bootstrap (B = 5,000 resamples over stays) provided a 95% confidence interval (CI) for the MAE difference. A model was declared significantly superior only when the entire bootstrap CI lay above zero. Analyses were performed overall and within pre-specified LoS subgroups (1–2, 2–4, 4–7 and &gt;7 days). Because stays still in the ICU at the time of estimation contribute a censored (lower-bound) LoS, the prospective errors reported here are conservative — both for the models and for the physician — and are concentrated in the long-stay subgroup; this is examined in the Discussion. Analyses used Python (scikit-learn, XGBoost, SciPy).</w:t>
      </w:r>
    </w:p>
    <w:p w14:paraId="30C786D9" w14:textId="77777777" w:rsidR="000D54FE" w:rsidRDefault="00DC6D1A">
      <w:pPr>
        <w:pStyle w:val="berschrift1"/>
      </w:pPr>
      <w:r>
        <w:lastRenderedPageBreak/>
        <w:t>3. Results</w:t>
      </w:r>
    </w:p>
    <w:p w14:paraId="718CF0A5" w14:textId="77777777" w:rsidR="000D54FE" w:rsidRDefault="00DC6D1A">
      <w:pPr>
        <w:pStyle w:val="berschrift2"/>
      </w:pPr>
      <w:r>
        <w:t>3.1 Cohort characteristics</w:t>
      </w:r>
    </w:p>
    <w:p w14:paraId="46F8E486" w14:textId="2F158560" w:rsidR="000D54FE" w:rsidRDefault="00DC6D1A">
      <w:pPr>
        <w:jc w:val="both"/>
      </w:pPr>
      <w:r>
        <w:t>The development cohort comprised 12,884 ICU stays from 10,875 patients (1,552 patients contributing more than one stay). The median LoS was 2.9 days (90th percentile 13.5 days; maximum 77 days), confirming a strongly right-skewed outcome. The prospective evaluation cohort comprised 286 ICU stays with a matched senior-physician estimate.</w:t>
      </w:r>
    </w:p>
    <w:p w14:paraId="5563C8D0" w14:textId="77777777" w:rsidR="000D54FE" w:rsidRDefault="00DC6D1A">
      <w:pPr>
        <w:pStyle w:val="berschrift2"/>
      </w:pPr>
      <w:r>
        <w:t>3.2 Retrospective model performance</w:t>
      </w:r>
    </w:p>
    <w:p w14:paraId="701BAF1F" w14:textId="4D0CADAC" w:rsidR="000D54FE" w:rsidRDefault="00DC6D1A">
      <w:pPr>
        <w:jc w:val="both"/>
      </w:pPr>
      <w:r>
        <w:t>All five models achieved broadly similar accuracy on the held-out test set, indicating that the predictive signal is captured by the features rather than by a particular algorithm</w:t>
      </w:r>
      <w:r w:rsidR="00AD0ECC">
        <w:t xml:space="preserve"> (Figure 2)</w:t>
      </w:r>
      <w:r>
        <w:t>. Extra Trees had the best (lowest) patient-grouped cross-validated MAE (2.826 d) and was therefore pre-specified and frozen as the final model; on the untouched test set it achieved an MAE of 2.75 d and R² 0.36 (Table 3). The Tweedie model gave the best calibration (highest R² 0.38, smallest bias -0.71 d) at a marginally higher MAE, while ridge regression was weakest.</w:t>
      </w:r>
    </w:p>
    <w:p w14:paraId="711A371D" w14:textId="77777777" w:rsidR="000D54FE" w:rsidRDefault="00DC6D1A">
      <w:r>
        <w:rPr>
          <w:b/>
          <w:sz w:val="19"/>
        </w:rPr>
        <w:t>Table 3.</w:t>
      </w:r>
      <w:r>
        <w:rPr>
          <w:i/>
          <w:sz w:val="19"/>
        </w:rPr>
        <w:t xml:space="preserve">  Retrospective held-out performance (n = 2,601), ordered by cross-validated MAE.</w:t>
      </w:r>
    </w:p>
    <w:tbl>
      <w:tblPr>
        <w:tblStyle w:val="HellesRaster-Akzent1"/>
        <w:tblW w:w="0" w:type="auto"/>
        <w:jc w:val="center"/>
        <w:tblLook w:val="04A0" w:firstRow="1" w:lastRow="0" w:firstColumn="1" w:lastColumn="0" w:noHBand="0" w:noVBand="1"/>
      </w:tblPr>
      <w:tblGrid>
        <w:gridCol w:w="1234"/>
        <w:gridCol w:w="1234"/>
        <w:gridCol w:w="1234"/>
        <w:gridCol w:w="1234"/>
        <w:gridCol w:w="1234"/>
        <w:gridCol w:w="1234"/>
        <w:gridCol w:w="1234"/>
      </w:tblGrid>
      <w:tr w:rsidR="000D54FE" w14:paraId="25B4C7C4"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shd w:val="clear" w:color="auto" w:fill="1F4E79"/>
          </w:tcPr>
          <w:p w14:paraId="15C1414F" w14:textId="77777777" w:rsidR="000D54FE" w:rsidRDefault="00DC6D1A">
            <w:r>
              <w:rPr>
                <w:color w:val="FFFFFF"/>
                <w:sz w:val="19"/>
              </w:rPr>
              <w:t>Model</w:t>
            </w:r>
          </w:p>
        </w:tc>
        <w:tc>
          <w:tcPr>
            <w:tcW w:w="1234" w:type="dxa"/>
            <w:shd w:val="clear" w:color="auto" w:fill="1F4E79"/>
          </w:tcPr>
          <w:p w14:paraId="31F32B39"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MAE (d)</w:t>
            </w:r>
          </w:p>
        </w:tc>
        <w:tc>
          <w:tcPr>
            <w:tcW w:w="1234" w:type="dxa"/>
            <w:shd w:val="clear" w:color="auto" w:fill="1F4E79"/>
          </w:tcPr>
          <w:p w14:paraId="58CDF409"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Median AE (d)</w:t>
            </w:r>
          </w:p>
        </w:tc>
        <w:tc>
          <w:tcPr>
            <w:tcW w:w="1234" w:type="dxa"/>
            <w:shd w:val="clear" w:color="auto" w:fill="1F4E79"/>
          </w:tcPr>
          <w:p w14:paraId="7017DE4D"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RMSE (d)</w:t>
            </w:r>
          </w:p>
        </w:tc>
        <w:tc>
          <w:tcPr>
            <w:tcW w:w="1234" w:type="dxa"/>
            <w:shd w:val="clear" w:color="auto" w:fill="1F4E79"/>
          </w:tcPr>
          <w:p w14:paraId="5EB8126D"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R²</w:t>
            </w:r>
          </w:p>
        </w:tc>
        <w:tc>
          <w:tcPr>
            <w:tcW w:w="1234" w:type="dxa"/>
            <w:shd w:val="clear" w:color="auto" w:fill="1F4E79"/>
          </w:tcPr>
          <w:p w14:paraId="56A7D383"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Bias (d)</w:t>
            </w:r>
          </w:p>
        </w:tc>
        <w:tc>
          <w:tcPr>
            <w:tcW w:w="1234" w:type="dxa"/>
            <w:shd w:val="clear" w:color="auto" w:fill="1F4E79"/>
          </w:tcPr>
          <w:p w14:paraId="7F6A225A"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CV-MAE (d)</w:t>
            </w:r>
          </w:p>
        </w:tc>
      </w:tr>
      <w:tr w:rsidR="000D54FE" w14:paraId="5BD054D5"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360616D" w14:textId="77777777" w:rsidR="000D54FE" w:rsidRDefault="00DC6D1A">
            <w:r>
              <w:rPr>
                <w:b w:val="0"/>
                <w:sz w:val="19"/>
              </w:rPr>
              <w:t>Extra Trees (final)</w:t>
            </w:r>
          </w:p>
        </w:tc>
        <w:tc>
          <w:tcPr>
            <w:tcW w:w="1234" w:type="dxa"/>
          </w:tcPr>
          <w:p w14:paraId="4386676B"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2.75</w:t>
            </w:r>
          </w:p>
        </w:tc>
        <w:tc>
          <w:tcPr>
            <w:tcW w:w="1234" w:type="dxa"/>
          </w:tcPr>
          <w:p w14:paraId="163A3F0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1.22</w:t>
            </w:r>
          </w:p>
        </w:tc>
        <w:tc>
          <w:tcPr>
            <w:tcW w:w="1234" w:type="dxa"/>
          </w:tcPr>
          <w:p w14:paraId="5390AA2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5.35</w:t>
            </w:r>
          </w:p>
        </w:tc>
        <w:tc>
          <w:tcPr>
            <w:tcW w:w="1234" w:type="dxa"/>
          </w:tcPr>
          <w:p w14:paraId="6FDBDC3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0.36</w:t>
            </w:r>
          </w:p>
        </w:tc>
        <w:tc>
          <w:tcPr>
            <w:tcW w:w="1234" w:type="dxa"/>
          </w:tcPr>
          <w:p w14:paraId="609B8869"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-1.08</w:t>
            </w:r>
          </w:p>
        </w:tc>
        <w:tc>
          <w:tcPr>
            <w:tcW w:w="1234" w:type="dxa"/>
          </w:tcPr>
          <w:p w14:paraId="49CD15F6"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2.826</w:t>
            </w:r>
          </w:p>
        </w:tc>
      </w:tr>
      <w:tr w:rsidR="000D54FE" w14:paraId="2BACDA21"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25360BE" w14:textId="77777777" w:rsidR="000D54FE" w:rsidRDefault="00DC6D1A">
            <w:r>
              <w:rPr>
                <w:b w:val="0"/>
                <w:sz w:val="19"/>
              </w:rPr>
              <w:t>Random forest</w:t>
            </w:r>
          </w:p>
        </w:tc>
        <w:tc>
          <w:tcPr>
            <w:tcW w:w="1234" w:type="dxa"/>
          </w:tcPr>
          <w:p w14:paraId="33B3526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2.76</w:t>
            </w:r>
          </w:p>
        </w:tc>
        <w:tc>
          <w:tcPr>
            <w:tcW w:w="1234" w:type="dxa"/>
          </w:tcPr>
          <w:p w14:paraId="016D4384"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1.23</w:t>
            </w:r>
          </w:p>
        </w:tc>
        <w:tc>
          <w:tcPr>
            <w:tcW w:w="1234" w:type="dxa"/>
          </w:tcPr>
          <w:p w14:paraId="57C3C95D"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5.39</w:t>
            </w:r>
          </w:p>
        </w:tc>
        <w:tc>
          <w:tcPr>
            <w:tcW w:w="1234" w:type="dxa"/>
          </w:tcPr>
          <w:p w14:paraId="0D10C74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0.35</w:t>
            </w:r>
          </w:p>
        </w:tc>
        <w:tc>
          <w:tcPr>
            <w:tcW w:w="1234" w:type="dxa"/>
          </w:tcPr>
          <w:p w14:paraId="57B9F9E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-1.15</w:t>
            </w:r>
          </w:p>
        </w:tc>
        <w:tc>
          <w:tcPr>
            <w:tcW w:w="1234" w:type="dxa"/>
          </w:tcPr>
          <w:p w14:paraId="14B62B6E"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2.833</w:t>
            </w:r>
          </w:p>
        </w:tc>
      </w:tr>
      <w:tr w:rsidR="000D54FE" w14:paraId="61732152"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2138DC30" w14:textId="77777777" w:rsidR="000D54FE" w:rsidRDefault="00DC6D1A">
            <w:r>
              <w:rPr>
                <w:b w:val="0"/>
                <w:sz w:val="19"/>
              </w:rPr>
              <w:t>Gradient-boosted trees</w:t>
            </w:r>
          </w:p>
        </w:tc>
        <w:tc>
          <w:tcPr>
            <w:tcW w:w="1234" w:type="dxa"/>
          </w:tcPr>
          <w:p w14:paraId="1D63D9C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2.80</w:t>
            </w:r>
          </w:p>
        </w:tc>
        <w:tc>
          <w:tcPr>
            <w:tcW w:w="1234" w:type="dxa"/>
          </w:tcPr>
          <w:p w14:paraId="1AA5A36C"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1.27</w:t>
            </w:r>
          </w:p>
        </w:tc>
        <w:tc>
          <w:tcPr>
            <w:tcW w:w="1234" w:type="dxa"/>
          </w:tcPr>
          <w:p w14:paraId="5F7B25B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5.39</w:t>
            </w:r>
          </w:p>
        </w:tc>
        <w:tc>
          <w:tcPr>
            <w:tcW w:w="1234" w:type="dxa"/>
          </w:tcPr>
          <w:p w14:paraId="1262181A"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0.35</w:t>
            </w:r>
          </w:p>
        </w:tc>
        <w:tc>
          <w:tcPr>
            <w:tcW w:w="1234" w:type="dxa"/>
          </w:tcPr>
          <w:p w14:paraId="5843494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-1.00</w:t>
            </w:r>
          </w:p>
        </w:tc>
        <w:tc>
          <w:tcPr>
            <w:tcW w:w="1234" w:type="dxa"/>
          </w:tcPr>
          <w:p w14:paraId="285F0C99"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2.845</w:t>
            </w:r>
          </w:p>
        </w:tc>
      </w:tr>
      <w:tr w:rsidR="000D54FE" w14:paraId="17BA0902"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8D23B88" w14:textId="77777777" w:rsidR="000D54FE" w:rsidRDefault="00DC6D1A">
            <w:r>
              <w:rPr>
                <w:b w:val="0"/>
                <w:sz w:val="19"/>
              </w:rPr>
              <w:t>Tweedie model</w:t>
            </w:r>
          </w:p>
        </w:tc>
        <w:tc>
          <w:tcPr>
            <w:tcW w:w="1234" w:type="dxa"/>
          </w:tcPr>
          <w:p w14:paraId="544283B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2.81</w:t>
            </w:r>
          </w:p>
        </w:tc>
        <w:tc>
          <w:tcPr>
            <w:tcW w:w="1234" w:type="dxa"/>
          </w:tcPr>
          <w:p w14:paraId="16C4870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1.32</w:t>
            </w:r>
          </w:p>
        </w:tc>
        <w:tc>
          <w:tcPr>
            <w:tcW w:w="1234" w:type="dxa"/>
          </w:tcPr>
          <w:p w14:paraId="0C7D1F8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5.28</w:t>
            </w:r>
          </w:p>
        </w:tc>
        <w:tc>
          <w:tcPr>
            <w:tcW w:w="1234" w:type="dxa"/>
          </w:tcPr>
          <w:p w14:paraId="372FBE9C"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0.38</w:t>
            </w:r>
          </w:p>
        </w:tc>
        <w:tc>
          <w:tcPr>
            <w:tcW w:w="1234" w:type="dxa"/>
          </w:tcPr>
          <w:p w14:paraId="3DB03978"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-0.71</w:t>
            </w:r>
          </w:p>
        </w:tc>
        <w:tc>
          <w:tcPr>
            <w:tcW w:w="1234" w:type="dxa"/>
          </w:tcPr>
          <w:p w14:paraId="2C997F6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2.870</w:t>
            </w:r>
          </w:p>
        </w:tc>
      </w:tr>
      <w:tr w:rsidR="000D54FE" w14:paraId="08697AF0"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6F86319" w14:textId="77777777" w:rsidR="000D54FE" w:rsidRDefault="00DC6D1A">
            <w:r>
              <w:rPr>
                <w:b w:val="0"/>
                <w:sz w:val="19"/>
              </w:rPr>
              <w:t>Ridge regression</w:t>
            </w:r>
          </w:p>
        </w:tc>
        <w:tc>
          <w:tcPr>
            <w:tcW w:w="1234" w:type="dxa"/>
          </w:tcPr>
          <w:p w14:paraId="11FE99F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3.03</w:t>
            </w:r>
          </w:p>
        </w:tc>
        <w:tc>
          <w:tcPr>
            <w:tcW w:w="1234" w:type="dxa"/>
          </w:tcPr>
          <w:p w14:paraId="6F65511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1.50</w:t>
            </w:r>
          </w:p>
        </w:tc>
        <w:tc>
          <w:tcPr>
            <w:tcW w:w="1234" w:type="dxa"/>
          </w:tcPr>
          <w:p w14:paraId="1CE43686"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5.77</w:t>
            </w:r>
          </w:p>
        </w:tc>
        <w:tc>
          <w:tcPr>
            <w:tcW w:w="1234" w:type="dxa"/>
          </w:tcPr>
          <w:p w14:paraId="7A0C6674"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0.25</w:t>
            </w:r>
          </w:p>
        </w:tc>
        <w:tc>
          <w:tcPr>
            <w:tcW w:w="1234" w:type="dxa"/>
          </w:tcPr>
          <w:p w14:paraId="48C35DB0"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-1.18</w:t>
            </w:r>
          </w:p>
        </w:tc>
        <w:tc>
          <w:tcPr>
            <w:tcW w:w="1234" w:type="dxa"/>
          </w:tcPr>
          <w:p w14:paraId="09EDF1FF"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3.069</w:t>
            </w:r>
          </w:p>
        </w:tc>
      </w:tr>
    </w:tbl>
    <w:p w14:paraId="519DFE9C" w14:textId="7800A823" w:rsidR="000D54FE" w:rsidRDefault="000D54FE">
      <w:pPr>
        <w:jc w:val="center"/>
      </w:pPr>
    </w:p>
    <w:p w14:paraId="1423589C" w14:textId="668438A1" w:rsidR="00947234" w:rsidRPr="00947234" w:rsidRDefault="00947234" w:rsidP="00947234">
      <w:pPr>
        <w:pStyle w:val="Beschriftung"/>
        <w:keepNext/>
        <w:jc w:val="center"/>
        <w:rPr>
          <w:b w:val="0"/>
          <w:bCs w:val="0"/>
          <w:i/>
          <w:iCs/>
          <w:color w:val="auto"/>
          <w:sz w:val="19"/>
          <w:szCs w:val="19"/>
        </w:rPr>
      </w:pPr>
      <w:r w:rsidRPr="00947234">
        <w:rPr>
          <w:b w:val="0"/>
          <w:bCs w:val="0"/>
          <w:i/>
          <w:iCs/>
          <w:color w:val="auto"/>
          <w:sz w:val="19"/>
          <w:szCs w:val="19"/>
        </w:rPr>
        <w:t>Retrospective and prospective model performance</w:t>
      </w:r>
    </w:p>
    <w:p w14:paraId="1968A4D5" w14:textId="209969EB" w:rsidR="0063163B" w:rsidRDefault="0063163B" w:rsidP="0063163B">
      <w:pPr>
        <w:jc w:val="center"/>
      </w:pPr>
      <w:commentRangeStart w:id="0"/>
      <w:r w:rsidRPr="0063163B">
        <w:rPr>
          <w:noProof/>
        </w:rPr>
        <w:drawing>
          <wp:inline distT="0" distB="0" distL="0" distR="0" wp14:anchorId="014C6E2D" wp14:editId="29BBB19C">
            <wp:extent cx="5486400" cy="1789430"/>
            <wp:effectExtent l="0" t="0" r="0" b="1270"/>
            <wp:docPr id="1052172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72724" name=""/>
                    <pic:cNvPicPr/>
                  </pic:nvPicPr>
                  <pic:blipFill>
                    <a:blip r:embed="rId8"/>
                    <a:stretch>
                      <a:fillRect/>
                    </a:stretch>
                  </pic:blipFill>
                  <pic:spPr>
                    <a:xfrm>
                      <a:off x="0" y="0"/>
                      <a:ext cx="5486400" cy="1789430"/>
                    </a:xfrm>
                    <a:prstGeom prst="rect">
                      <a:avLst/>
                    </a:prstGeom>
                  </pic:spPr>
                </pic:pic>
              </a:graphicData>
            </a:graphic>
          </wp:inline>
        </w:drawing>
      </w:r>
      <w:commentRangeEnd w:id="0"/>
      <w:r w:rsidR="00AD0ECC">
        <w:rPr>
          <w:rStyle w:val="Kommentarzeichen"/>
          <w:sz w:val="22"/>
          <w:szCs w:val="22"/>
        </w:rPr>
        <w:commentReference w:id="0"/>
      </w:r>
    </w:p>
    <w:p w14:paraId="353D9411" w14:textId="01E9A97E" w:rsidR="000D54FE" w:rsidRDefault="00DC6D1A">
      <w:pPr>
        <w:jc w:val="center"/>
      </w:pPr>
      <w:r>
        <w:rPr>
          <w:i/>
          <w:sz w:val="19"/>
        </w:rPr>
        <w:lastRenderedPageBreak/>
        <w:t xml:space="preserve">Figure </w:t>
      </w:r>
      <w:r w:rsidR="00947234">
        <w:rPr>
          <w:i/>
          <w:sz w:val="19"/>
        </w:rPr>
        <w:t>2</w:t>
      </w:r>
      <w:r>
        <w:rPr>
          <w:i/>
          <w:sz w:val="19"/>
        </w:rPr>
        <w:t>. Model accuracy (MAE, left) and calibration (R², right) on the retrospective hold-out (n = 2,601) versus the prospective cohort (n = 286), for all five candidate models, with the senior-physician reference. Prospective accuracy degrades and, for R², collapses relative to internal validation; the prospective long-stay errors are additionally inflated by censored open stays (see text).</w:t>
      </w:r>
    </w:p>
    <w:p w14:paraId="16663183" w14:textId="77777777" w:rsidR="000D54FE" w:rsidRDefault="00DC6D1A">
      <w:pPr>
        <w:pStyle w:val="berschrift2"/>
      </w:pPr>
      <w:r>
        <w:t>3.3 Model interpretation (explainability)</w:t>
      </w:r>
    </w:p>
    <w:p w14:paraId="69862031" w14:textId="0D5284E8" w:rsidR="000D54FE" w:rsidRDefault="00DC6D1A">
      <w:pPr>
        <w:jc w:val="both"/>
      </w:pPr>
      <w:r>
        <w:t>Permutation importance on the held-out set (final model) showed that early intensive-care complex-treatment and monitoring procedure codes documented within the first 24 hours dominated the prediction; the single most influential predictor (ICU complex treatment, base code 8-98f.0) increased MAE by 1.28 days when permuted, far ahead of any other feature</w:t>
      </w:r>
      <w:r w:rsidR="00AD0ECC">
        <w:t xml:space="preserve"> (see Figure 3)</w:t>
      </w:r>
      <w:r>
        <w:t>. Diagnoses such as ventilator dependence and patient age contributed modestly. These signals are clinically coherent: the intensity of early intensive-care treatment encodes illness severity and organ-support requirements that drive prolonged stay.</w:t>
      </w:r>
    </w:p>
    <w:p w14:paraId="598DDB14" w14:textId="77777777" w:rsidR="000D54FE" w:rsidRDefault="00DC6D1A">
      <w:r>
        <w:rPr>
          <w:b/>
          <w:sz w:val="19"/>
        </w:rPr>
        <w:t>Table 4.</w:t>
      </w:r>
      <w:r>
        <w:rPr>
          <w:i/>
          <w:sz w:val="19"/>
        </w:rPr>
        <w:t xml:space="preserve">  Top-8 predictors by permutation importance (final model, held-out set).</w:t>
      </w:r>
    </w:p>
    <w:tbl>
      <w:tblPr>
        <w:tblStyle w:val="HellesRaster-Akzent1"/>
        <w:tblW w:w="0" w:type="auto"/>
        <w:jc w:val="center"/>
        <w:tblLook w:val="04A0" w:firstRow="1" w:lastRow="0" w:firstColumn="1" w:lastColumn="0" w:noHBand="0" w:noVBand="1"/>
      </w:tblPr>
      <w:tblGrid>
        <w:gridCol w:w="2880"/>
        <w:gridCol w:w="2880"/>
        <w:gridCol w:w="2880"/>
      </w:tblGrid>
      <w:tr w:rsidR="000D54FE" w14:paraId="761F7214"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tcPr>
          <w:p w14:paraId="321A81F5" w14:textId="77777777" w:rsidR="000D54FE" w:rsidRDefault="00DC6D1A">
            <w:r>
              <w:rPr>
                <w:color w:val="FFFFFF"/>
                <w:sz w:val="19"/>
              </w:rPr>
              <w:t>Rank</w:t>
            </w:r>
          </w:p>
        </w:tc>
        <w:tc>
          <w:tcPr>
            <w:tcW w:w="2880" w:type="dxa"/>
            <w:shd w:val="clear" w:color="auto" w:fill="1F4E79"/>
          </w:tcPr>
          <w:p w14:paraId="3DF858DD"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Predictor</w:t>
            </w:r>
          </w:p>
        </w:tc>
        <w:tc>
          <w:tcPr>
            <w:tcW w:w="2880" w:type="dxa"/>
            <w:shd w:val="clear" w:color="auto" w:fill="1F4E79"/>
          </w:tcPr>
          <w:p w14:paraId="7B75ED59"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ΔMAE when permuted (d)</w:t>
            </w:r>
          </w:p>
        </w:tc>
      </w:tr>
      <w:tr w:rsidR="000D54FE" w14:paraId="166DD130"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68681F" w14:textId="77777777" w:rsidR="000D54FE" w:rsidRDefault="00DC6D1A">
            <w:r>
              <w:rPr>
                <w:b w:val="0"/>
                <w:sz w:val="19"/>
              </w:rPr>
              <w:t>1</w:t>
            </w:r>
          </w:p>
        </w:tc>
        <w:tc>
          <w:tcPr>
            <w:tcW w:w="2880" w:type="dxa"/>
          </w:tcPr>
          <w:p w14:paraId="536F34AB"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ICU complex treatment, base (OPS 8-98f.0)</w:t>
            </w:r>
          </w:p>
        </w:tc>
        <w:tc>
          <w:tcPr>
            <w:tcW w:w="2880" w:type="dxa"/>
          </w:tcPr>
          <w:p w14:paraId="6C4461EE"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1.278</w:t>
            </w:r>
          </w:p>
        </w:tc>
      </w:tr>
      <w:tr w:rsidR="000D54FE" w14:paraId="2153C3FE"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FEDD4E" w14:textId="77777777" w:rsidR="000D54FE" w:rsidRDefault="00DC6D1A">
            <w:r>
              <w:rPr>
                <w:b w:val="0"/>
                <w:sz w:val="19"/>
              </w:rPr>
              <w:t>2</w:t>
            </w:r>
          </w:p>
        </w:tc>
        <w:tc>
          <w:tcPr>
            <w:tcW w:w="2880" w:type="dxa"/>
          </w:tcPr>
          <w:p w14:paraId="057CBC07"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ICU complex treatment, extended (8-98f.10)</w:t>
            </w:r>
          </w:p>
        </w:tc>
        <w:tc>
          <w:tcPr>
            <w:tcW w:w="2880" w:type="dxa"/>
          </w:tcPr>
          <w:p w14:paraId="1D45FEFC"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0.303</w:t>
            </w:r>
          </w:p>
        </w:tc>
      </w:tr>
      <w:tr w:rsidR="000D54FE" w14:paraId="22ED47EA"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92B4D3" w14:textId="77777777" w:rsidR="000D54FE" w:rsidRDefault="00DC6D1A">
            <w:r>
              <w:rPr>
                <w:b w:val="0"/>
                <w:sz w:val="19"/>
              </w:rPr>
              <w:t>3</w:t>
            </w:r>
          </w:p>
        </w:tc>
        <w:tc>
          <w:tcPr>
            <w:tcW w:w="2880" w:type="dxa"/>
          </w:tcPr>
          <w:p w14:paraId="082FDC6C"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Extended haemodynamic monitoring (8-931)</w:t>
            </w:r>
          </w:p>
        </w:tc>
        <w:tc>
          <w:tcPr>
            <w:tcW w:w="2880" w:type="dxa"/>
          </w:tcPr>
          <w:p w14:paraId="2F27BF9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0.218</w:t>
            </w:r>
          </w:p>
        </w:tc>
      </w:tr>
      <w:tr w:rsidR="000D54FE" w14:paraId="56073065"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ECA9DD" w14:textId="77777777" w:rsidR="000D54FE" w:rsidRDefault="00DC6D1A">
            <w:r>
              <w:rPr>
                <w:b w:val="0"/>
                <w:sz w:val="19"/>
              </w:rPr>
              <w:t>4</w:t>
            </w:r>
          </w:p>
        </w:tc>
        <w:tc>
          <w:tcPr>
            <w:tcW w:w="2880" w:type="dxa"/>
          </w:tcPr>
          <w:p w14:paraId="293D2C33"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Total procedure count (24 h)</w:t>
            </w:r>
          </w:p>
        </w:tc>
        <w:tc>
          <w:tcPr>
            <w:tcW w:w="2880" w:type="dxa"/>
          </w:tcPr>
          <w:p w14:paraId="2AD55AC0"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0.120</w:t>
            </w:r>
          </w:p>
        </w:tc>
      </w:tr>
      <w:tr w:rsidR="000D54FE" w14:paraId="7C32BB40"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CD878D1" w14:textId="77777777" w:rsidR="000D54FE" w:rsidRDefault="00DC6D1A">
            <w:r>
              <w:rPr>
                <w:b w:val="0"/>
                <w:sz w:val="19"/>
              </w:rPr>
              <w:t>5</w:t>
            </w:r>
          </w:p>
        </w:tc>
        <w:tc>
          <w:tcPr>
            <w:tcW w:w="2880" w:type="dxa"/>
          </w:tcPr>
          <w:p w14:paraId="479FD9DE"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Cardiac monitoring (8-924)</w:t>
            </w:r>
          </w:p>
        </w:tc>
        <w:tc>
          <w:tcPr>
            <w:tcW w:w="2880" w:type="dxa"/>
          </w:tcPr>
          <w:p w14:paraId="5A7601DF"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0.069</w:t>
            </w:r>
          </w:p>
        </w:tc>
      </w:tr>
      <w:tr w:rsidR="000D54FE" w14:paraId="324CC3A8"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466E07" w14:textId="77777777" w:rsidR="000D54FE" w:rsidRDefault="00DC6D1A">
            <w:r>
              <w:rPr>
                <w:b w:val="0"/>
                <w:sz w:val="19"/>
              </w:rPr>
              <w:t>6</w:t>
            </w:r>
          </w:p>
        </w:tc>
        <w:tc>
          <w:tcPr>
            <w:tcW w:w="2880" w:type="dxa"/>
          </w:tcPr>
          <w:p w14:paraId="45F7CC0C"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ICU complex treatment, prolonged (8-98f.11)</w:t>
            </w:r>
          </w:p>
        </w:tc>
        <w:tc>
          <w:tcPr>
            <w:tcW w:w="2880" w:type="dxa"/>
          </w:tcPr>
          <w:p w14:paraId="4E5BC977"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0.069</w:t>
            </w:r>
          </w:p>
        </w:tc>
      </w:tr>
      <w:tr w:rsidR="000D54FE" w14:paraId="2B558C25"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FACD50" w14:textId="77777777" w:rsidR="000D54FE" w:rsidRDefault="00DC6D1A">
            <w:r>
              <w:rPr>
                <w:b w:val="0"/>
                <w:sz w:val="19"/>
              </w:rPr>
              <w:t>7</w:t>
            </w:r>
          </w:p>
        </w:tc>
        <w:tc>
          <w:tcPr>
            <w:tcW w:w="2880" w:type="dxa"/>
          </w:tcPr>
          <w:p w14:paraId="41A34244"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Basic haemodynamic monitoring (8-930)</w:t>
            </w:r>
          </w:p>
        </w:tc>
        <w:tc>
          <w:tcPr>
            <w:tcW w:w="2880" w:type="dxa"/>
          </w:tcPr>
          <w:p w14:paraId="2F31FA21"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0.054</w:t>
            </w:r>
          </w:p>
        </w:tc>
      </w:tr>
      <w:tr w:rsidR="000D54FE" w14:paraId="5BF3E9B1"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BEE3E36" w14:textId="77777777" w:rsidR="000D54FE" w:rsidRDefault="00DC6D1A">
            <w:r>
              <w:rPr>
                <w:b w:val="0"/>
                <w:sz w:val="19"/>
              </w:rPr>
              <w:t>8</w:t>
            </w:r>
          </w:p>
        </w:tc>
        <w:tc>
          <w:tcPr>
            <w:tcW w:w="2880" w:type="dxa"/>
          </w:tcPr>
          <w:p w14:paraId="4DD55E21"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Ventilator dependence (Z99.1)</w:t>
            </w:r>
          </w:p>
        </w:tc>
        <w:tc>
          <w:tcPr>
            <w:tcW w:w="2880" w:type="dxa"/>
          </w:tcPr>
          <w:p w14:paraId="0D8900E4"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0.044</w:t>
            </w:r>
          </w:p>
        </w:tc>
      </w:tr>
    </w:tbl>
    <w:p w14:paraId="3759145A" w14:textId="77777777" w:rsidR="000D54FE" w:rsidRDefault="00DC6D1A">
      <w:pPr>
        <w:jc w:val="center"/>
      </w:pPr>
      <w:r>
        <w:rPr>
          <w:noProof/>
        </w:rPr>
        <w:lastRenderedPageBreak/>
        <w:drawing>
          <wp:inline distT="0" distB="0" distL="0" distR="0" wp14:anchorId="2E4644ED" wp14:editId="58CF025A">
            <wp:extent cx="5760720" cy="35006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e.png"/>
                    <pic:cNvPicPr/>
                  </pic:nvPicPr>
                  <pic:blipFill>
                    <a:blip r:embed="rId13"/>
                    <a:stretch>
                      <a:fillRect/>
                    </a:stretch>
                  </pic:blipFill>
                  <pic:spPr>
                    <a:xfrm>
                      <a:off x="0" y="0"/>
                      <a:ext cx="5760720" cy="3500668"/>
                    </a:xfrm>
                    <a:prstGeom prst="rect">
                      <a:avLst/>
                    </a:prstGeom>
                  </pic:spPr>
                </pic:pic>
              </a:graphicData>
            </a:graphic>
          </wp:inline>
        </w:drawing>
      </w:r>
    </w:p>
    <w:p w14:paraId="6F6E8D7F" w14:textId="2A792FFD" w:rsidR="000D54FE" w:rsidRDefault="00DC6D1A">
      <w:pPr>
        <w:jc w:val="center"/>
      </w:pPr>
      <w:r>
        <w:rPr>
          <w:i/>
          <w:sz w:val="19"/>
        </w:rPr>
        <w:t xml:space="preserve">Figure </w:t>
      </w:r>
      <w:r w:rsidR="00947234">
        <w:rPr>
          <w:i/>
          <w:sz w:val="19"/>
        </w:rPr>
        <w:t>3</w:t>
      </w:r>
      <w:r>
        <w:rPr>
          <w:i/>
          <w:sz w:val="19"/>
        </w:rPr>
        <w:t>. Permutation feature importance for the final model (Extra Trees): increase in MAE when each predictor is randomly permuted on the held-out set.</w:t>
      </w:r>
    </w:p>
    <w:p w14:paraId="7F3721F1" w14:textId="77777777" w:rsidR="000D54FE" w:rsidRDefault="00DC6D1A">
      <w:pPr>
        <w:pStyle w:val="berschrift2"/>
      </w:pPr>
      <w:r>
        <w:t>3.4 Prospective validation against the senior physician</w:t>
      </w:r>
    </w:p>
    <w:p w14:paraId="011E0E78" w14:textId="77777777" w:rsidR="000D54FE" w:rsidRDefault="00DC6D1A">
      <w:pPr>
        <w:jc w:val="both"/>
      </w:pPr>
      <w:r>
        <w:t>Across all 286 prospective stays the senior physician was more accurate than every model (physician MAE 2.94 d, R² 0.28; best model Extra Trees MAE 3.69 d, R² 0.02). Compared with internal validation, model accuracy degraded and calibration collapsed under prospective conditions: the tree-based models retained only near-zero, non-negative R² (Extra Trees 0.02, XGBoost 0.02), while ridge regression was grossly unstable under distribution shift. Overall, therefore, no model was superior to the clinician (Table 5).</w:t>
      </w:r>
    </w:p>
    <w:p w14:paraId="791DC511" w14:textId="77777777" w:rsidR="000D54FE" w:rsidRDefault="00DC6D1A">
      <w:r>
        <w:rPr>
          <w:b/>
          <w:sz w:val="19"/>
        </w:rPr>
        <w:t>Table 5.</w:t>
      </w:r>
      <w:r>
        <w:rPr>
          <w:i/>
          <w:sz w:val="19"/>
        </w:rPr>
        <w:t xml:space="preserve">  Prospective performance against the senior physician (n = 286; 193 discharged, 93 still in the ICU at estimation with censored lower-bound LoS).</w:t>
      </w:r>
    </w:p>
    <w:tbl>
      <w:tblPr>
        <w:tblStyle w:val="HellesRaster-Akzent1"/>
        <w:tblW w:w="0" w:type="auto"/>
        <w:jc w:val="center"/>
        <w:tblLook w:val="04A0" w:firstRow="1" w:lastRow="0" w:firstColumn="1" w:lastColumn="0" w:noHBand="0" w:noVBand="1"/>
      </w:tblPr>
      <w:tblGrid>
        <w:gridCol w:w="1440"/>
        <w:gridCol w:w="1440"/>
        <w:gridCol w:w="1440"/>
        <w:gridCol w:w="1440"/>
        <w:gridCol w:w="1440"/>
        <w:gridCol w:w="1440"/>
      </w:tblGrid>
      <w:tr w:rsidR="000D54FE" w14:paraId="71B62579"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1F4E79"/>
          </w:tcPr>
          <w:p w14:paraId="061E1537" w14:textId="77777777" w:rsidR="000D54FE" w:rsidRDefault="00DC6D1A">
            <w:r>
              <w:rPr>
                <w:color w:val="FFFFFF"/>
                <w:sz w:val="19"/>
              </w:rPr>
              <w:t>Estimator</w:t>
            </w:r>
          </w:p>
        </w:tc>
        <w:tc>
          <w:tcPr>
            <w:tcW w:w="1440" w:type="dxa"/>
            <w:shd w:val="clear" w:color="auto" w:fill="1F4E79"/>
          </w:tcPr>
          <w:p w14:paraId="4B209D8C"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MAE (d)</w:t>
            </w:r>
          </w:p>
        </w:tc>
        <w:tc>
          <w:tcPr>
            <w:tcW w:w="1440" w:type="dxa"/>
            <w:shd w:val="clear" w:color="auto" w:fill="1F4E79"/>
          </w:tcPr>
          <w:p w14:paraId="3D48D109"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Median AE (d)</w:t>
            </w:r>
          </w:p>
        </w:tc>
        <w:tc>
          <w:tcPr>
            <w:tcW w:w="1440" w:type="dxa"/>
            <w:shd w:val="clear" w:color="auto" w:fill="1F4E79"/>
          </w:tcPr>
          <w:p w14:paraId="2D88238F"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RMSE (d)</w:t>
            </w:r>
          </w:p>
        </w:tc>
        <w:tc>
          <w:tcPr>
            <w:tcW w:w="1440" w:type="dxa"/>
            <w:shd w:val="clear" w:color="auto" w:fill="1F4E79"/>
          </w:tcPr>
          <w:p w14:paraId="5AC8DDE5"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R²</w:t>
            </w:r>
          </w:p>
        </w:tc>
        <w:tc>
          <w:tcPr>
            <w:tcW w:w="1440" w:type="dxa"/>
            <w:shd w:val="clear" w:color="auto" w:fill="1F4E79"/>
          </w:tcPr>
          <w:p w14:paraId="66F575D4"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Bias (d)</w:t>
            </w:r>
          </w:p>
        </w:tc>
      </w:tr>
      <w:tr w:rsidR="000D54FE" w14:paraId="32207315"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3C87C87" w14:textId="77777777" w:rsidR="000D54FE" w:rsidRDefault="00DC6D1A">
            <w:r>
              <w:rPr>
                <w:b w:val="0"/>
                <w:sz w:val="19"/>
              </w:rPr>
              <w:t>Senior physician</w:t>
            </w:r>
          </w:p>
        </w:tc>
        <w:tc>
          <w:tcPr>
            <w:tcW w:w="1440" w:type="dxa"/>
          </w:tcPr>
          <w:p w14:paraId="6D5E44B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2.94</w:t>
            </w:r>
          </w:p>
        </w:tc>
        <w:tc>
          <w:tcPr>
            <w:tcW w:w="1440" w:type="dxa"/>
          </w:tcPr>
          <w:p w14:paraId="547E5208"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1.26</w:t>
            </w:r>
          </w:p>
        </w:tc>
        <w:tc>
          <w:tcPr>
            <w:tcW w:w="1440" w:type="dxa"/>
          </w:tcPr>
          <w:p w14:paraId="0D1DD001"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5.43</w:t>
            </w:r>
          </w:p>
        </w:tc>
        <w:tc>
          <w:tcPr>
            <w:tcW w:w="1440" w:type="dxa"/>
          </w:tcPr>
          <w:p w14:paraId="4BC17AB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0.28</w:t>
            </w:r>
          </w:p>
        </w:tc>
        <w:tc>
          <w:tcPr>
            <w:tcW w:w="1440" w:type="dxa"/>
          </w:tcPr>
          <w:p w14:paraId="588CF1AE"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-1.10</w:t>
            </w:r>
          </w:p>
        </w:tc>
      </w:tr>
      <w:tr w:rsidR="000D54FE" w14:paraId="565EB1D3"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1EBC26D" w14:textId="77777777" w:rsidR="000D54FE" w:rsidRDefault="00DC6D1A">
            <w:r>
              <w:rPr>
                <w:b w:val="0"/>
                <w:sz w:val="19"/>
              </w:rPr>
              <w:t>Extra Trees (final)</w:t>
            </w:r>
          </w:p>
        </w:tc>
        <w:tc>
          <w:tcPr>
            <w:tcW w:w="1440" w:type="dxa"/>
          </w:tcPr>
          <w:p w14:paraId="6C8E823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3.69</w:t>
            </w:r>
          </w:p>
        </w:tc>
        <w:tc>
          <w:tcPr>
            <w:tcW w:w="1440" w:type="dxa"/>
          </w:tcPr>
          <w:p w14:paraId="3227A2F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1.93</w:t>
            </w:r>
          </w:p>
        </w:tc>
        <w:tc>
          <w:tcPr>
            <w:tcW w:w="1440" w:type="dxa"/>
          </w:tcPr>
          <w:p w14:paraId="35A4F112"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6.34</w:t>
            </w:r>
          </w:p>
        </w:tc>
        <w:tc>
          <w:tcPr>
            <w:tcW w:w="1440" w:type="dxa"/>
          </w:tcPr>
          <w:p w14:paraId="13C1109D"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0.02</w:t>
            </w:r>
          </w:p>
        </w:tc>
        <w:tc>
          <w:tcPr>
            <w:tcW w:w="1440" w:type="dxa"/>
          </w:tcPr>
          <w:p w14:paraId="70A71F0A"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-1.52</w:t>
            </w:r>
          </w:p>
        </w:tc>
      </w:tr>
      <w:tr w:rsidR="000D54FE" w14:paraId="4FEFDD91"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9D8DAC6" w14:textId="77777777" w:rsidR="000D54FE" w:rsidRDefault="00DC6D1A">
            <w:r>
              <w:rPr>
                <w:b w:val="0"/>
                <w:sz w:val="19"/>
              </w:rPr>
              <w:t>Random forest</w:t>
            </w:r>
          </w:p>
        </w:tc>
        <w:tc>
          <w:tcPr>
            <w:tcW w:w="1440" w:type="dxa"/>
          </w:tcPr>
          <w:p w14:paraId="5F4D9FB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3.92</w:t>
            </w:r>
          </w:p>
        </w:tc>
        <w:tc>
          <w:tcPr>
            <w:tcW w:w="1440" w:type="dxa"/>
          </w:tcPr>
          <w:p w14:paraId="3FF51BC1"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2.42</w:t>
            </w:r>
          </w:p>
        </w:tc>
        <w:tc>
          <w:tcPr>
            <w:tcW w:w="1440" w:type="dxa"/>
          </w:tcPr>
          <w:p w14:paraId="393680A6"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6.40</w:t>
            </w:r>
          </w:p>
        </w:tc>
        <w:tc>
          <w:tcPr>
            <w:tcW w:w="1440" w:type="dxa"/>
          </w:tcPr>
          <w:p w14:paraId="7AF2295B"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-0.00</w:t>
            </w:r>
          </w:p>
        </w:tc>
        <w:tc>
          <w:tcPr>
            <w:tcW w:w="1440" w:type="dxa"/>
          </w:tcPr>
          <w:p w14:paraId="37298C15"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-1.07</w:t>
            </w:r>
          </w:p>
        </w:tc>
      </w:tr>
      <w:tr w:rsidR="000D54FE" w14:paraId="170E2019"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013D8A5" w14:textId="77777777" w:rsidR="000D54FE" w:rsidRDefault="00DC6D1A">
            <w:r>
              <w:rPr>
                <w:b w:val="0"/>
                <w:sz w:val="19"/>
              </w:rPr>
              <w:t>Gradient-boosted trees</w:t>
            </w:r>
          </w:p>
        </w:tc>
        <w:tc>
          <w:tcPr>
            <w:tcW w:w="1440" w:type="dxa"/>
          </w:tcPr>
          <w:p w14:paraId="546B0B08"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3.98</w:t>
            </w:r>
          </w:p>
        </w:tc>
        <w:tc>
          <w:tcPr>
            <w:tcW w:w="1440" w:type="dxa"/>
          </w:tcPr>
          <w:p w14:paraId="29930A9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2.35</w:t>
            </w:r>
          </w:p>
        </w:tc>
        <w:tc>
          <w:tcPr>
            <w:tcW w:w="1440" w:type="dxa"/>
          </w:tcPr>
          <w:p w14:paraId="090B5201"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6.32</w:t>
            </w:r>
          </w:p>
        </w:tc>
        <w:tc>
          <w:tcPr>
            <w:tcW w:w="1440" w:type="dxa"/>
          </w:tcPr>
          <w:p w14:paraId="1255947B"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0.02</w:t>
            </w:r>
          </w:p>
        </w:tc>
        <w:tc>
          <w:tcPr>
            <w:tcW w:w="1440" w:type="dxa"/>
          </w:tcPr>
          <w:p w14:paraId="782DFB49"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-0.62</w:t>
            </w:r>
          </w:p>
        </w:tc>
      </w:tr>
      <w:tr w:rsidR="000D54FE" w14:paraId="0EB41F12"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3F22D3C" w14:textId="77777777" w:rsidR="000D54FE" w:rsidRDefault="00DC6D1A">
            <w:r>
              <w:rPr>
                <w:b w:val="0"/>
                <w:sz w:val="19"/>
              </w:rPr>
              <w:t>Tweedie model</w:t>
            </w:r>
          </w:p>
        </w:tc>
        <w:tc>
          <w:tcPr>
            <w:tcW w:w="1440" w:type="dxa"/>
          </w:tcPr>
          <w:p w14:paraId="4CBE1B95"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4.42</w:t>
            </w:r>
          </w:p>
        </w:tc>
        <w:tc>
          <w:tcPr>
            <w:tcW w:w="1440" w:type="dxa"/>
          </w:tcPr>
          <w:p w14:paraId="3434F33A"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2.75</w:t>
            </w:r>
          </w:p>
        </w:tc>
        <w:tc>
          <w:tcPr>
            <w:tcW w:w="1440" w:type="dxa"/>
          </w:tcPr>
          <w:p w14:paraId="6E63D89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6.56</w:t>
            </w:r>
          </w:p>
        </w:tc>
        <w:tc>
          <w:tcPr>
            <w:tcW w:w="1440" w:type="dxa"/>
          </w:tcPr>
          <w:p w14:paraId="07787DCF"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-0.05</w:t>
            </w:r>
          </w:p>
        </w:tc>
        <w:tc>
          <w:tcPr>
            <w:tcW w:w="1440" w:type="dxa"/>
          </w:tcPr>
          <w:p w14:paraId="347F3229"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+0.05</w:t>
            </w:r>
          </w:p>
        </w:tc>
      </w:tr>
      <w:tr w:rsidR="000D54FE" w14:paraId="4E6365BF"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F18B6A7" w14:textId="77777777" w:rsidR="000D54FE" w:rsidRDefault="00DC6D1A">
            <w:r>
              <w:rPr>
                <w:b w:val="0"/>
                <w:sz w:val="19"/>
              </w:rPr>
              <w:t>Ridge regression</w:t>
            </w:r>
          </w:p>
        </w:tc>
        <w:tc>
          <w:tcPr>
            <w:tcW w:w="1440" w:type="dxa"/>
          </w:tcPr>
          <w:p w14:paraId="6223F896"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8.06</w:t>
            </w:r>
          </w:p>
        </w:tc>
        <w:tc>
          <w:tcPr>
            <w:tcW w:w="1440" w:type="dxa"/>
          </w:tcPr>
          <w:p w14:paraId="19047D1E"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4.00</w:t>
            </w:r>
          </w:p>
        </w:tc>
        <w:tc>
          <w:tcPr>
            <w:tcW w:w="1440" w:type="dxa"/>
          </w:tcPr>
          <w:p w14:paraId="5C40AD95"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23.62</w:t>
            </w:r>
          </w:p>
        </w:tc>
        <w:tc>
          <w:tcPr>
            <w:tcW w:w="1440" w:type="dxa"/>
          </w:tcPr>
          <w:p w14:paraId="3850041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-12.66</w:t>
            </w:r>
          </w:p>
        </w:tc>
        <w:tc>
          <w:tcPr>
            <w:tcW w:w="1440" w:type="dxa"/>
          </w:tcPr>
          <w:p w14:paraId="70BAEEAD"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+4.68</w:t>
            </w:r>
          </w:p>
        </w:tc>
      </w:tr>
    </w:tbl>
    <w:p w14:paraId="564336D0" w14:textId="77777777" w:rsidR="000D54FE" w:rsidRDefault="00DC6D1A">
      <w:pPr>
        <w:jc w:val="both"/>
      </w:pPr>
      <w:r>
        <w:lastRenderedPageBreak/>
        <w:t>The overall result, however, masks a clinically important interaction with stay length (Figure 3). The physician was markedly more accurate for short stays (1–2 d) and for very long stays (&gt;7 d), where rich tacit knowledge of the individual patient is decisive. In the intermediate range, the models matched or beat the clinician.</w:t>
      </w:r>
    </w:p>
    <w:p w14:paraId="6B9AAF03" w14:textId="77777777" w:rsidR="000D54FE" w:rsidRDefault="00DC6D1A">
      <w:r>
        <w:rPr>
          <w:b/>
          <w:sz w:val="19"/>
        </w:rPr>
        <w:t>Table 6.</w:t>
      </w:r>
      <w:r>
        <w:rPr>
          <w:i/>
          <w:sz w:val="19"/>
        </w:rPr>
        <w:t xml:space="preserve">  Prospective MAE (days) by length-of-stay subgroup (n = 286). The physician is most accurate at the extremes; tree models are most accurate for intermediate stays. The &gt;7 d errors are inflated by censored open stays.</w:t>
      </w:r>
    </w:p>
    <w:tbl>
      <w:tblPr>
        <w:tblStyle w:val="HellesRaster-Akzent1"/>
        <w:tblW w:w="0" w:type="auto"/>
        <w:jc w:val="center"/>
        <w:tblLook w:val="04A0" w:firstRow="1" w:lastRow="0" w:firstColumn="1" w:lastColumn="0" w:noHBand="0" w:noVBand="1"/>
      </w:tblPr>
      <w:tblGrid>
        <w:gridCol w:w="1728"/>
        <w:gridCol w:w="1728"/>
        <w:gridCol w:w="1728"/>
        <w:gridCol w:w="1728"/>
        <w:gridCol w:w="1728"/>
      </w:tblGrid>
      <w:tr w:rsidR="000D54FE" w14:paraId="5764DCC3" w14:textId="77777777" w:rsidTr="000D54F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shd w:val="clear" w:color="auto" w:fill="1F4E79"/>
          </w:tcPr>
          <w:p w14:paraId="2839040C" w14:textId="77777777" w:rsidR="000D54FE" w:rsidRDefault="00DC6D1A">
            <w:r>
              <w:rPr>
                <w:color w:val="FFFFFF"/>
                <w:sz w:val="19"/>
              </w:rPr>
              <w:t>LoS subgroup</w:t>
            </w:r>
          </w:p>
        </w:tc>
        <w:tc>
          <w:tcPr>
            <w:tcW w:w="1728" w:type="dxa"/>
            <w:shd w:val="clear" w:color="auto" w:fill="1F4E79"/>
          </w:tcPr>
          <w:p w14:paraId="2E5D00E0"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Senior physician</w:t>
            </w:r>
          </w:p>
        </w:tc>
        <w:tc>
          <w:tcPr>
            <w:tcW w:w="1728" w:type="dxa"/>
            <w:shd w:val="clear" w:color="auto" w:fill="1F4E79"/>
          </w:tcPr>
          <w:p w14:paraId="40F753E9"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Extra Trees</w:t>
            </w:r>
          </w:p>
        </w:tc>
        <w:tc>
          <w:tcPr>
            <w:tcW w:w="1728" w:type="dxa"/>
            <w:shd w:val="clear" w:color="auto" w:fill="1F4E79"/>
          </w:tcPr>
          <w:p w14:paraId="6B5AF6DF"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Random forest</w:t>
            </w:r>
          </w:p>
        </w:tc>
        <w:tc>
          <w:tcPr>
            <w:tcW w:w="1728" w:type="dxa"/>
            <w:shd w:val="clear" w:color="auto" w:fill="1F4E79"/>
          </w:tcPr>
          <w:p w14:paraId="1BBDB210" w14:textId="77777777" w:rsidR="000D54FE" w:rsidRDefault="00DC6D1A">
            <w:pPr>
              <w:cnfStyle w:val="100000000000" w:firstRow="1" w:lastRow="0" w:firstColumn="0" w:lastColumn="0" w:oddVBand="0" w:evenVBand="0" w:oddHBand="0" w:evenHBand="0" w:firstRowFirstColumn="0" w:firstRowLastColumn="0" w:lastRowFirstColumn="0" w:lastRowLastColumn="0"/>
            </w:pPr>
            <w:r>
              <w:rPr>
                <w:color w:val="FFFFFF"/>
                <w:sz w:val="19"/>
              </w:rPr>
              <w:t>XGBoost</w:t>
            </w:r>
          </w:p>
        </w:tc>
      </w:tr>
      <w:tr w:rsidR="000D54FE" w14:paraId="78576EFC"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3761395" w14:textId="77777777" w:rsidR="000D54FE" w:rsidRDefault="00DC6D1A">
            <w:r>
              <w:rPr>
                <w:b w:val="0"/>
                <w:sz w:val="19"/>
              </w:rPr>
              <w:t>1–2 d</w:t>
            </w:r>
          </w:p>
        </w:tc>
        <w:tc>
          <w:tcPr>
            <w:tcW w:w="1728" w:type="dxa"/>
          </w:tcPr>
          <w:p w14:paraId="73DA26CC" w14:textId="77777777" w:rsidR="000D54FE" w:rsidRPr="00674630" w:rsidRDefault="00DC6D1A">
            <w:pPr>
              <w:jc w:val="center"/>
              <w:cnfStyle w:val="000000100000" w:firstRow="0" w:lastRow="0" w:firstColumn="0" w:lastColumn="0" w:oddVBand="0" w:evenVBand="0" w:oddHBand="1" w:evenHBand="0" w:firstRowFirstColumn="0" w:firstRowLastColumn="0" w:lastRowFirstColumn="0" w:lastRowLastColumn="0"/>
              <w:rPr>
                <w:b/>
                <w:bCs/>
                <w:i/>
                <w:iCs/>
              </w:rPr>
            </w:pPr>
            <w:r w:rsidRPr="00674630">
              <w:rPr>
                <w:b/>
                <w:bCs/>
                <w:i/>
                <w:iCs/>
                <w:sz w:val="19"/>
              </w:rPr>
              <w:t>0.97</w:t>
            </w:r>
          </w:p>
        </w:tc>
        <w:tc>
          <w:tcPr>
            <w:tcW w:w="1728" w:type="dxa"/>
          </w:tcPr>
          <w:p w14:paraId="130F60FD"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2.47</w:t>
            </w:r>
          </w:p>
        </w:tc>
        <w:tc>
          <w:tcPr>
            <w:tcW w:w="1728" w:type="dxa"/>
          </w:tcPr>
          <w:p w14:paraId="50088D92"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2.96</w:t>
            </w:r>
          </w:p>
        </w:tc>
        <w:tc>
          <w:tcPr>
            <w:tcW w:w="1728" w:type="dxa"/>
          </w:tcPr>
          <w:p w14:paraId="732BF4B3"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3.18</w:t>
            </w:r>
          </w:p>
        </w:tc>
      </w:tr>
      <w:tr w:rsidR="000D54FE" w14:paraId="5F01264A"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D49B268" w14:textId="77777777" w:rsidR="000D54FE" w:rsidRDefault="00DC6D1A">
            <w:r>
              <w:rPr>
                <w:b w:val="0"/>
                <w:sz w:val="19"/>
              </w:rPr>
              <w:t>2–4 d</w:t>
            </w:r>
          </w:p>
        </w:tc>
        <w:tc>
          <w:tcPr>
            <w:tcW w:w="1728" w:type="dxa"/>
          </w:tcPr>
          <w:p w14:paraId="1F4E192C"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1.50</w:t>
            </w:r>
          </w:p>
        </w:tc>
        <w:tc>
          <w:tcPr>
            <w:tcW w:w="1728" w:type="dxa"/>
          </w:tcPr>
          <w:p w14:paraId="12287B36" w14:textId="77777777" w:rsidR="000D54FE" w:rsidRPr="00674630" w:rsidRDefault="00DC6D1A">
            <w:pPr>
              <w:jc w:val="center"/>
              <w:cnfStyle w:val="000000010000" w:firstRow="0" w:lastRow="0" w:firstColumn="0" w:lastColumn="0" w:oddVBand="0" w:evenVBand="0" w:oddHBand="0" w:evenHBand="1" w:firstRowFirstColumn="0" w:firstRowLastColumn="0" w:lastRowFirstColumn="0" w:lastRowLastColumn="0"/>
              <w:rPr>
                <w:b/>
                <w:bCs/>
                <w:i/>
                <w:iCs/>
              </w:rPr>
            </w:pPr>
            <w:r w:rsidRPr="00674630">
              <w:rPr>
                <w:b/>
                <w:bCs/>
                <w:i/>
                <w:iCs/>
                <w:sz w:val="19"/>
              </w:rPr>
              <w:t>1.25</w:t>
            </w:r>
          </w:p>
        </w:tc>
        <w:tc>
          <w:tcPr>
            <w:tcW w:w="1728" w:type="dxa"/>
          </w:tcPr>
          <w:p w14:paraId="360B925F"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1.48</w:t>
            </w:r>
          </w:p>
        </w:tc>
        <w:tc>
          <w:tcPr>
            <w:tcW w:w="1728" w:type="dxa"/>
          </w:tcPr>
          <w:p w14:paraId="74FB127C"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1.87</w:t>
            </w:r>
          </w:p>
        </w:tc>
      </w:tr>
      <w:tr w:rsidR="000D54FE" w14:paraId="129DA6AA" w14:textId="77777777" w:rsidTr="000D54F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A26DFD7" w14:textId="77777777" w:rsidR="000D54FE" w:rsidRDefault="00DC6D1A">
            <w:r>
              <w:rPr>
                <w:b w:val="0"/>
                <w:sz w:val="19"/>
              </w:rPr>
              <w:t>4–7 d</w:t>
            </w:r>
          </w:p>
        </w:tc>
        <w:tc>
          <w:tcPr>
            <w:tcW w:w="1728" w:type="dxa"/>
          </w:tcPr>
          <w:p w14:paraId="506617B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1.95</w:t>
            </w:r>
          </w:p>
        </w:tc>
        <w:tc>
          <w:tcPr>
            <w:tcW w:w="1728" w:type="dxa"/>
          </w:tcPr>
          <w:p w14:paraId="77A8B4CC" w14:textId="77777777" w:rsidR="000D54FE" w:rsidRPr="00674630" w:rsidRDefault="00DC6D1A">
            <w:pPr>
              <w:jc w:val="center"/>
              <w:cnfStyle w:val="000000100000" w:firstRow="0" w:lastRow="0" w:firstColumn="0" w:lastColumn="0" w:oddVBand="0" w:evenVBand="0" w:oddHBand="1" w:evenHBand="0" w:firstRowFirstColumn="0" w:firstRowLastColumn="0" w:lastRowFirstColumn="0" w:lastRowLastColumn="0"/>
              <w:rPr>
                <w:b/>
                <w:bCs/>
                <w:i/>
                <w:iCs/>
              </w:rPr>
            </w:pPr>
            <w:r w:rsidRPr="00674630">
              <w:rPr>
                <w:b/>
                <w:bCs/>
                <w:i/>
                <w:iCs/>
                <w:sz w:val="19"/>
              </w:rPr>
              <w:t>1.40</w:t>
            </w:r>
          </w:p>
        </w:tc>
        <w:tc>
          <w:tcPr>
            <w:tcW w:w="1728" w:type="dxa"/>
          </w:tcPr>
          <w:p w14:paraId="1E2CF6D7"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1.72</w:t>
            </w:r>
          </w:p>
        </w:tc>
        <w:tc>
          <w:tcPr>
            <w:tcW w:w="1728" w:type="dxa"/>
          </w:tcPr>
          <w:p w14:paraId="3E064BFB" w14:textId="77777777" w:rsidR="000D54FE" w:rsidRDefault="00DC6D1A">
            <w:pPr>
              <w:jc w:val="center"/>
              <w:cnfStyle w:val="000000100000" w:firstRow="0" w:lastRow="0" w:firstColumn="0" w:lastColumn="0" w:oddVBand="0" w:evenVBand="0" w:oddHBand="1" w:evenHBand="0" w:firstRowFirstColumn="0" w:firstRowLastColumn="0" w:lastRowFirstColumn="0" w:lastRowLastColumn="0"/>
            </w:pPr>
            <w:r>
              <w:rPr>
                <w:sz w:val="19"/>
              </w:rPr>
              <w:t>2.06</w:t>
            </w:r>
          </w:p>
        </w:tc>
      </w:tr>
      <w:tr w:rsidR="000D54FE" w14:paraId="6C580B5A" w14:textId="77777777" w:rsidTr="000D54F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450F905D" w14:textId="77777777" w:rsidR="000D54FE" w:rsidRDefault="00DC6D1A">
            <w:r>
              <w:rPr>
                <w:b w:val="0"/>
                <w:sz w:val="19"/>
              </w:rPr>
              <w:t>&gt;7 d</w:t>
            </w:r>
          </w:p>
        </w:tc>
        <w:tc>
          <w:tcPr>
            <w:tcW w:w="1728" w:type="dxa"/>
          </w:tcPr>
          <w:p w14:paraId="01221A01" w14:textId="77777777" w:rsidR="000D54FE" w:rsidRPr="00674630" w:rsidRDefault="00DC6D1A">
            <w:pPr>
              <w:jc w:val="center"/>
              <w:cnfStyle w:val="000000010000" w:firstRow="0" w:lastRow="0" w:firstColumn="0" w:lastColumn="0" w:oddVBand="0" w:evenVBand="0" w:oddHBand="0" w:evenHBand="1" w:firstRowFirstColumn="0" w:firstRowLastColumn="0" w:lastRowFirstColumn="0" w:lastRowLastColumn="0"/>
              <w:rPr>
                <w:b/>
                <w:bCs/>
                <w:i/>
                <w:iCs/>
              </w:rPr>
            </w:pPr>
            <w:r w:rsidRPr="00674630">
              <w:rPr>
                <w:b/>
                <w:bCs/>
                <w:i/>
                <w:iCs/>
                <w:sz w:val="19"/>
              </w:rPr>
              <w:t>7.74</w:t>
            </w:r>
          </w:p>
        </w:tc>
        <w:tc>
          <w:tcPr>
            <w:tcW w:w="1728" w:type="dxa"/>
          </w:tcPr>
          <w:p w14:paraId="144C4027"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9.63</w:t>
            </w:r>
          </w:p>
        </w:tc>
        <w:tc>
          <w:tcPr>
            <w:tcW w:w="1728" w:type="dxa"/>
          </w:tcPr>
          <w:p w14:paraId="4C45DCF4"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9.46</w:t>
            </w:r>
          </w:p>
        </w:tc>
        <w:tc>
          <w:tcPr>
            <w:tcW w:w="1728" w:type="dxa"/>
          </w:tcPr>
          <w:p w14:paraId="2F3A583E" w14:textId="77777777" w:rsidR="000D54FE" w:rsidRDefault="00DC6D1A">
            <w:pPr>
              <w:jc w:val="center"/>
              <w:cnfStyle w:val="000000010000" w:firstRow="0" w:lastRow="0" w:firstColumn="0" w:lastColumn="0" w:oddVBand="0" w:evenVBand="0" w:oddHBand="0" w:evenHBand="1" w:firstRowFirstColumn="0" w:firstRowLastColumn="0" w:lastRowFirstColumn="0" w:lastRowLastColumn="0"/>
            </w:pPr>
            <w:r>
              <w:rPr>
                <w:sz w:val="19"/>
              </w:rPr>
              <w:t>8.75</w:t>
            </w:r>
          </w:p>
        </w:tc>
      </w:tr>
    </w:tbl>
    <w:p w14:paraId="08B86AD1" w14:textId="26F19299" w:rsidR="000D54FE" w:rsidRDefault="00DC6D1A">
      <w:pPr>
        <w:jc w:val="both"/>
      </w:pPr>
      <w:r>
        <w:t>Formal superiority testing localised the only significant model advantage to intermediate stays. For 4–</w:t>
      </w:r>
      <w:r w:rsidR="004D64BE">
        <w:t>7 day</w:t>
      </w:r>
      <w:r>
        <w:t xml:space="preserve"> stays, Extra Trees — the final model — was significantly more accurate than the senior physician (ΔMAE +0.56 d, 95% CI 0.09 to 1.02, one-sided Wilcoxon p = 0.012), the entire paired-bootstrap confidence interval of the MAE difference lying above zero. The random forest showed the same direction but did not reach significance in this cohort (ΔMAE +0.24 d, 95% CI -0.21 to 0.68). No model was significantly superior to the physician overall or in any other subgroup, and the physician retained a large, significant advantage for short (1–2 d) and very long (&gt;7 d) stays. The complementary nature of the two information sources — clinician intuition at the extremes, model accuracy in the middle — is the central finding of the prospective evaluation</w:t>
      </w:r>
      <w:r w:rsidR="00AD0ECC">
        <w:t xml:space="preserve"> (Figure 4)</w:t>
      </w:r>
      <w:r>
        <w:t>.</w:t>
      </w:r>
    </w:p>
    <w:p w14:paraId="25E695CA" w14:textId="5024F020" w:rsidR="000D54FE" w:rsidRDefault="00674630">
      <w:pPr>
        <w:jc w:val="center"/>
      </w:pPr>
      <w:commentRangeStart w:id="1"/>
      <w:r w:rsidRPr="00674630">
        <w:rPr>
          <w:noProof/>
        </w:rPr>
        <w:drawing>
          <wp:inline distT="0" distB="0" distL="0" distR="0" wp14:anchorId="7261D588" wp14:editId="75657420">
            <wp:extent cx="5486400" cy="3072765"/>
            <wp:effectExtent l="0" t="0" r="0" b="0"/>
            <wp:docPr id="7698535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3513" name=""/>
                    <pic:cNvPicPr/>
                  </pic:nvPicPr>
                  <pic:blipFill>
                    <a:blip r:embed="rId14"/>
                    <a:stretch>
                      <a:fillRect/>
                    </a:stretch>
                  </pic:blipFill>
                  <pic:spPr>
                    <a:xfrm>
                      <a:off x="0" y="0"/>
                      <a:ext cx="5486400" cy="3072765"/>
                    </a:xfrm>
                    <a:prstGeom prst="rect">
                      <a:avLst/>
                    </a:prstGeom>
                  </pic:spPr>
                </pic:pic>
              </a:graphicData>
            </a:graphic>
          </wp:inline>
        </w:drawing>
      </w:r>
      <w:commentRangeEnd w:id="1"/>
      <w:r w:rsidR="00AD0ECC">
        <w:rPr>
          <w:rStyle w:val="Kommentarzeichen"/>
          <w:sz w:val="22"/>
          <w:szCs w:val="22"/>
        </w:rPr>
        <w:commentReference w:id="1"/>
      </w:r>
    </w:p>
    <w:p w14:paraId="1A0D3343" w14:textId="1A5C6BFF" w:rsidR="000D54FE" w:rsidRDefault="00DC6D1A">
      <w:pPr>
        <w:jc w:val="center"/>
      </w:pPr>
      <w:r>
        <w:rPr>
          <w:i/>
          <w:sz w:val="19"/>
        </w:rPr>
        <w:lastRenderedPageBreak/>
        <w:t xml:space="preserve">Figure </w:t>
      </w:r>
      <w:r w:rsidR="00AD0ECC">
        <w:rPr>
          <w:i/>
          <w:sz w:val="19"/>
        </w:rPr>
        <w:t>4</w:t>
      </w:r>
      <w:r>
        <w:rPr>
          <w:i/>
          <w:sz w:val="19"/>
        </w:rPr>
        <w:t>. Prospective MAE by length-of-stay subgroup (n = 286) for the senior physician and the candidate models (with a mean-prediction null reference). Lower is better. Open (censored) stays inflate the &gt;7 d errors for all estimators.</w:t>
      </w:r>
    </w:p>
    <w:p w14:paraId="077452C2" w14:textId="77777777" w:rsidR="000D54FE" w:rsidRDefault="00DC6D1A">
      <w:pPr>
        <w:pStyle w:val="berschrift1"/>
      </w:pPr>
      <w:r>
        <w:t>4. Discussion</w:t>
      </w:r>
    </w:p>
    <w:p w14:paraId="14977F8C" w14:textId="77777777" w:rsidR="000D54FE" w:rsidRDefault="00DC6D1A">
      <w:pPr>
        <w:pStyle w:val="berschrift2"/>
      </w:pPr>
      <w:r>
        <w:t>4.1 Principal findings</w:t>
      </w:r>
    </w:p>
    <w:p w14:paraId="1304D1A3" w14:textId="77777777" w:rsidR="000D54FE" w:rsidRDefault="00DC6D1A">
      <w:pPr>
        <w:jc w:val="both"/>
      </w:pPr>
      <w:r>
        <w:t>We developed and prospectively validated an early ICU-LoS model using only first-24-hour data and benchmarked it against the people it is meant to support — senior intensive-care physicians. Three findings stand out. First, model accuracy was driven by clinically interpretable early-treatment and monitoring signals, not by opaque interactions. Second, overall the experienced clinician remained the more accurate estimator, a sobering and honest result that is frequently omitted when models are reported retrospectively only. Third, and most importantly for deployment, the clinician’s advantage was confined to short and very long stays, while the model was significantly more accurate for intermediate (4–7 day) stays.</w:t>
      </w:r>
    </w:p>
    <w:p w14:paraId="3AEB2166" w14:textId="77777777" w:rsidR="000D54FE" w:rsidRDefault="00DC6D1A">
      <w:pPr>
        <w:pStyle w:val="berschrift2"/>
      </w:pPr>
      <w:r>
        <w:t>4.2 Clinical impact and translation</w:t>
      </w:r>
    </w:p>
    <w:p w14:paraId="696D0EF5" w14:textId="0F2AC4F5" w:rsidR="000D54FE" w:rsidRDefault="00DC6D1A">
      <w:pPr>
        <w:jc w:val="both"/>
      </w:pPr>
      <w:r>
        <w:t xml:space="preserve">These results speak directly to the synergy of medicine and AI rather than the substitution of one by the other. A model that is, on average, less accurate than a clinician can still be valuable if it is reliably better in a defined, recognisable subgroup. Intermediate-stay patients are common and operationally important </w:t>
      </w:r>
      <w:r w:rsidR="001A47B3">
        <w:t>-</w:t>
      </w:r>
      <w:r>
        <w:t xml:space="preserve"> they are precisely the cases for which bed-planning is hardest and for which clinician estimates here were least accurate. A practical deployment would surface the model estimate as a complementary second opinion, with its known subgroup-specific reliability made explicit, leaving short-stay and complex long-stay judgements to the clinician. This human-in-the-loop framing — using the model where it demonstrably helps and deferring to the clinician where it does not — is more likely to improve real-world patient flow than an all-or-nothing automation claim, and aligns with calls for trustworthy, clinically grounded AI.</w:t>
      </w:r>
    </w:p>
    <w:p w14:paraId="17E3C318" w14:textId="77777777" w:rsidR="000D54FE" w:rsidRDefault="00DC6D1A">
      <w:pPr>
        <w:pStyle w:val="berschrift2"/>
      </w:pPr>
      <w:r>
        <w:t>4.3 Strengths and limitations</w:t>
      </w:r>
    </w:p>
    <w:p w14:paraId="17C02D63" w14:textId="21B205A2" w:rsidR="000D54FE" w:rsidRPr="00582D01" w:rsidRDefault="00DC6D1A">
      <w:pPr>
        <w:jc w:val="both"/>
        <w:rPr>
          <w:lang w:val="en-GB"/>
        </w:rPr>
      </w:pPr>
      <w:r>
        <w:t>Strengths include a genuine prospective evaluation under routine conditions, a direct head-to-head benchmark against senior clinicians, patient-grouped validation that prevents within-patient leakage, transparent reporting following TRIPOD+AI, and explicit superiority testing with paired bootstrap confidence intervals rather than reliance on point estimates. Limitations include the single-centre design and the modest size of the prospective cohort, particularly within the long-stay subgroup, which limits power for rare very-long stays. LoS is, moreover, a partly organisational outcome influenced by downstream bed availability and discharge processes that no admission-time model can foresee, which bounds the achievable accuracy for all estimators including the clinician. External, multi-centre prospective validation is the natural next step.</w:t>
      </w:r>
      <w:r w:rsidR="00582D01">
        <w:t xml:space="preserve"> </w:t>
      </w:r>
      <w:r w:rsidR="00582D01" w:rsidRPr="00582D01">
        <w:rPr>
          <w:lang w:val="en-GB"/>
        </w:rPr>
        <w:t xml:space="preserve">Furthermore, in subsequent analyses, the performance loss from retrospective to prospective highlighted in this work must be investigated. Various reasons for this could be discussed and analyzed. On the one hand, the actual distribution of LoS may have changed over </w:t>
      </w:r>
      <w:r w:rsidR="00582D01" w:rsidRPr="00582D01">
        <w:rPr>
          <w:lang w:val="en-GB"/>
        </w:rPr>
        <w:lastRenderedPageBreak/>
        <w:t>time due to organizational or medical factors. Additionally, working with data from routine care carries a certain risk of creating an unobserved data leak in the retrospective dataset. Only prospective validation enables the true performance in real-world operations to be estimated.</w:t>
      </w:r>
    </w:p>
    <w:p w14:paraId="4299F53F" w14:textId="77777777" w:rsidR="000D54FE" w:rsidRPr="00582D01" w:rsidRDefault="00DC6D1A">
      <w:pPr>
        <w:pStyle w:val="berschrift2"/>
        <w:rPr>
          <w:lang w:val="de-DE"/>
        </w:rPr>
      </w:pPr>
      <w:r w:rsidRPr="00582D01">
        <w:rPr>
          <w:lang w:val="de-DE"/>
        </w:rPr>
        <w:t>4.4 Conclusion</w:t>
      </w:r>
    </w:p>
    <w:p w14:paraId="27625A43" w14:textId="77777777" w:rsidR="000D54FE" w:rsidRDefault="00DC6D1A">
      <w:pPr>
        <w:jc w:val="both"/>
      </w:pPr>
      <w:r>
        <w:t>An interpretable, first-24-hour ML model does not replace experienced clinical judgement for ICU-LoS prediction, but it provides statistically significant added accuracy precisely for the intermediate-stay patients where clinicians are least accurate and where operational need is greatest. Framing the model as a subgroup-aware complement to the clinician, rather than a replacement, offers a realistic path from data to clinical impact.</w:t>
      </w:r>
    </w:p>
    <w:p w14:paraId="0864CD93" w14:textId="77777777" w:rsidR="000D54FE" w:rsidRPr="00357C01" w:rsidRDefault="00DC6D1A">
      <w:pPr>
        <w:pStyle w:val="berschrift1"/>
        <w:rPr>
          <w:lang w:val="de-DE"/>
        </w:rPr>
      </w:pPr>
      <w:r w:rsidRPr="00357C01">
        <w:rPr>
          <w:lang w:val="de-DE"/>
        </w:rPr>
        <w:t>References</w:t>
      </w:r>
    </w:p>
    <w:p w14:paraId="3A8FEAF4" w14:textId="77777777" w:rsidR="00AD0ECC" w:rsidRPr="00AD0ECC" w:rsidRDefault="00AD0ECC" w:rsidP="00AD0ECC">
      <w:pPr>
        <w:pStyle w:val="Literaturverzeichnis"/>
      </w:pPr>
      <w:r>
        <w:fldChar w:fldCharType="begin"/>
      </w:r>
      <w:r w:rsidRPr="00AD0ECC">
        <w:rPr>
          <w:lang w:val="de-DE"/>
        </w:rPr>
        <w:instrText xml:space="preserve"> ADDIN ZOTERO_BIBL {"uncited":[],"omitted":[],"custom":[]} CSL_BIBLIOGRAPHY </w:instrText>
      </w:r>
      <w:r>
        <w:fldChar w:fldCharType="separate"/>
      </w:r>
      <w:r w:rsidRPr="00AD0ECC">
        <w:rPr>
          <w:lang w:val="de-DE"/>
        </w:rPr>
        <w:t>1.</w:t>
      </w:r>
      <w:r w:rsidRPr="00AD0ECC">
        <w:rPr>
          <w:lang w:val="de-DE"/>
        </w:rPr>
        <w:tab/>
        <w:t xml:space="preserve">Moerer O, Plock E, Mgbor U, Schmid A, Schneider H, Wischnewsky MB, et al. </w:t>
      </w:r>
      <w:r w:rsidRPr="00AD0ECC">
        <w:t>A German national prevalence study on the cost of intensive care: an evaluation from 51 intensive care units. Crit Care. 2007;11(3):R69. doi:10.1186/cc5952 PubMed PMID: 17594475; PubMed Central PMCID: PMC2206435.</w:t>
      </w:r>
    </w:p>
    <w:p w14:paraId="3E357313" w14:textId="77777777" w:rsidR="00AD0ECC" w:rsidRPr="00AD0ECC" w:rsidRDefault="00AD0ECC" w:rsidP="00AD0ECC">
      <w:pPr>
        <w:pStyle w:val="Literaturverzeichnis"/>
      </w:pPr>
      <w:r w:rsidRPr="00AD0ECC">
        <w:t>2.</w:t>
      </w:r>
      <w:r w:rsidRPr="00AD0ECC">
        <w:tab/>
        <w:t>Halpern NA, Pastores SM. Critical Care Medicine Beds, Use, Occupancy, and Costs in the United States: A Methodological Review. Crit Care Med. 2015 Nov;43(11):2452–9. doi:10.1097/CCM.0000000000001227 PubMed PMID: 26308432; PubMed Central PMCID: PMC5520980.</w:t>
      </w:r>
    </w:p>
    <w:p w14:paraId="238C70FA" w14:textId="77777777" w:rsidR="00AD0ECC" w:rsidRPr="00AD0ECC" w:rsidRDefault="00AD0ECC" w:rsidP="00AD0ECC">
      <w:pPr>
        <w:pStyle w:val="Literaturverzeichnis"/>
      </w:pPr>
      <w:r w:rsidRPr="00AD0ECC">
        <w:t>3.</w:t>
      </w:r>
      <w:r w:rsidRPr="00AD0ECC">
        <w:tab/>
        <w:t>Verburg IWM, Atashi A, Eslami S, Holman R, Abu-Hanna A, de Jonge E, et al. Which Models Can I Use to Predict Adult ICU Length of Stay? A Systematic Review*. Critical Care Medicine. 2017 Feb;45(2):e222. doi:10.1097/CCM.0000000000002054</w:t>
      </w:r>
    </w:p>
    <w:p w14:paraId="5DD6EED3" w14:textId="77777777" w:rsidR="00AD0ECC" w:rsidRPr="00AD0ECC" w:rsidRDefault="00AD0ECC" w:rsidP="00AD0ECC">
      <w:pPr>
        <w:pStyle w:val="Literaturverzeichnis"/>
      </w:pPr>
      <w:r w:rsidRPr="00AD0ECC">
        <w:t>4.</w:t>
      </w:r>
      <w:r w:rsidRPr="00AD0ECC">
        <w:tab/>
        <w:t>Cecconi M, Greco M, Balzani E, Aliverti A, Azoulay E, Bignami E, et al. Innovation in Intensive Care: a framework to turn ideas and concepts into actionable solutions [Internet]. 2026 Mar 24. doi:10.17863/CAM.128637</w:t>
      </w:r>
    </w:p>
    <w:p w14:paraId="199503D9" w14:textId="77777777" w:rsidR="00AD0ECC" w:rsidRPr="00AD0ECC" w:rsidRDefault="00AD0ECC" w:rsidP="00AD0ECC">
      <w:pPr>
        <w:pStyle w:val="Literaturverzeichnis"/>
      </w:pPr>
      <w:r w:rsidRPr="00AD0ECC">
        <w:t>5.</w:t>
      </w:r>
      <w:r w:rsidRPr="00AD0ECC">
        <w:tab/>
        <w:t>Cecconi M, Greco M, Shickel B, Angus DC, Bailey H, Bignami E, et al. Implementing Artificial Intelligence in Critical Care Medicine: a consensus of 22. Crit Care. 2025 Jul 8;29(1):290. doi:10.1186/s13054-025-05532-2</w:t>
      </w:r>
    </w:p>
    <w:p w14:paraId="04C16497" w14:textId="77777777" w:rsidR="00AD0ECC" w:rsidRPr="00AD0ECC" w:rsidRDefault="00AD0ECC" w:rsidP="00AD0ECC">
      <w:pPr>
        <w:pStyle w:val="Literaturverzeichnis"/>
        <w:rPr>
          <w:lang w:val="de-DE"/>
        </w:rPr>
      </w:pPr>
      <w:r w:rsidRPr="00AD0ECC">
        <w:t>6.</w:t>
      </w:r>
      <w:r w:rsidRPr="00AD0ECC">
        <w:tab/>
        <w:t xml:space="preserve">Tian J, Zhao Z, Tang L, Song Y, Li Y, Jiang N. From Pilot Trap to Institutional Capacity: A Governance Framework for Sustainable Clinical AI Implementation in Health Systems. </w:t>
      </w:r>
      <w:r w:rsidRPr="00AD0ECC">
        <w:rPr>
          <w:lang w:val="de-DE"/>
        </w:rPr>
        <w:t>J Med Internet Res. 2026 May 7;28:e92680–e92680. doi:10.2196/92680</w:t>
      </w:r>
    </w:p>
    <w:p w14:paraId="0A3CB6A5" w14:textId="77777777" w:rsidR="00AD0ECC" w:rsidRPr="00AD0ECC" w:rsidRDefault="00AD0ECC" w:rsidP="00AD0ECC">
      <w:pPr>
        <w:pStyle w:val="Literaturverzeichnis"/>
      </w:pPr>
      <w:r w:rsidRPr="00AD0ECC">
        <w:rPr>
          <w:lang w:val="de-DE"/>
        </w:rPr>
        <w:t>7.</w:t>
      </w:r>
      <w:r w:rsidRPr="00AD0ECC">
        <w:rPr>
          <w:lang w:val="de-DE"/>
        </w:rPr>
        <w:tab/>
        <w:t xml:space="preserve">Sokol K, Fackler J, Vogt JE. </w:t>
      </w:r>
      <w:r w:rsidRPr="00AD0ECC">
        <w:t>Artificial intelligence should genuinely support clinical reasoning and decision making to bridge the translational gap. npj Digit Med. 2025 Jun 10;8(1):345. doi:10.1038/s41746-025-01725-9</w:t>
      </w:r>
    </w:p>
    <w:p w14:paraId="56379DD9" w14:textId="77777777" w:rsidR="00AD0ECC" w:rsidRPr="00AD0ECC" w:rsidRDefault="00AD0ECC" w:rsidP="00AD0ECC">
      <w:pPr>
        <w:pStyle w:val="Literaturverzeichnis"/>
      </w:pPr>
      <w:r w:rsidRPr="00AD0ECC">
        <w:t>8.</w:t>
      </w:r>
      <w:r w:rsidRPr="00AD0ECC">
        <w:tab/>
        <w:t>Peek N, Capurro D, Rozova V, van der Veer SN. Bridging the Gap: Challenges and Strategies for the Implementation of Artificial Intelligence-based Clinical Decision Support Systems in Clinical Practice. Yearb Med Inform. 2025 Apr 8;33(1):103–14. doi:10.1055/s-0044-1800729 PubMed PMID: 40199296; PubMed Central PMCID: PMC12020628.</w:t>
      </w:r>
    </w:p>
    <w:p w14:paraId="2EAF79BB" w14:textId="77777777" w:rsidR="00AD0ECC" w:rsidRPr="00AD0ECC" w:rsidRDefault="00AD0ECC" w:rsidP="00AD0ECC">
      <w:pPr>
        <w:pStyle w:val="Literaturverzeichnis"/>
      </w:pPr>
      <w:r w:rsidRPr="00AD0ECC">
        <w:rPr>
          <w:lang w:val="de-DE"/>
        </w:rPr>
        <w:lastRenderedPageBreak/>
        <w:t>9.</w:t>
      </w:r>
      <w:r w:rsidRPr="00AD0ECC">
        <w:rPr>
          <w:lang w:val="de-DE"/>
        </w:rPr>
        <w:tab/>
        <w:t xml:space="preserve">Bürger VK, Amann J, Bui CKT, Fehr J, Madai VI. </w:t>
      </w:r>
      <w:r w:rsidRPr="00AD0ECC">
        <w:t>The unmet promise of trustworthy AI in healthcare: why we fail at clinical translation. Front Digit Health. 2024 Apr 18;6. doi:10.3389/fdgth.2024.1279629</w:t>
      </w:r>
    </w:p>
    <w:p w14:paraId="1CDDC3FE" w14:textId="77777777" w:rsidR="00AD0ECC" w:rsidRPr="00AD0ECC" w:rsidRDefault="00AD0ECC" w:rsidP="00AD0ECC">
      <w:pPr>
        <w:pStyle w:val="Literaturverzeichnis"/>
      </w:pPr>
      <w:r w:rsidRPr="00AD0ECC">
        <w:t>10.</w:t>
      </w:r>
      <w:r w:rsidRPr="00AD0ECC">
        <w:tab/>
        <w:t>Overgaard SM, Graham MG, Brereton T, Pencina MJ, Halamka JD, Vidal DE, et al. Implementing quality management systems to close the AI translation gap and facilitate safe, ethical, and effective health AI solutions. npj Digit Med. 2023 Nov 25;6(1):218. doi:10.1038/s41746-023-00968-8</w:t>
      </w:r>
    </w:p>
    <w:p w14:paraId="02B49E93" w14:textId="77777777" w:rsidR="00AD0ECC" w:rsidRPr="00AD0ECC" w:rsidRDefault="00AD0ECC" w:rsidP="00AD0ECC">
      <w:pPr>
        <w:pStyle w:val="Literaturverzeichnis"/>
      </w:pPr>
      <w:r w:rsidRPr="00AD0ECC">
        <w:t>11.</w:t>
      </w:r>
      <w:r w:rsidRPr="00AD0ECC">
        <w:tab/>
        <w:t>van de Sande D, van Genderen ME, Huiskens J, Gommers D, van Bommel J. Moving from bytes to bedside: a systematic review on the use of artificial intelligence in the intensive care unit. Intensive Care Med. 2021;47(7):750–60. doi:10.1007/s00134-021-06446-7 PubMed PMID: 34089064; PubMed Central PMCID: PMC8178026.</w:t>
      </w:r>
    </w:p>
    <w:p w14:paraId="663422D3" w14:textId="77777777" w:rsidR="00AD0ECC" w:rsidRPr="00AD0ECC" w:rsidRDefault="00AD0ECC" w:rsidP="00AD0ECC">
      <w:pPr>
        <w:pStyle w:val="Literaturverzeichnis"/>
      </w:pPr>
      <w:r w:rsidRPr="00AD0ECC">
        <w:rPr>
          <w:lang w:val="de-DE"/>
        </w:rPr>
        <w:t>12.</w:t>
      </w:r>
      <w:r w:rsidRPr="00AD0ECC">
        <w:rPr>
          <w:lang w:val="de-DE"/>
        </w:rPr>
        <w:tab/>
        <w:t xml:space="preserve">Berkhout WEM, Van Wijngaarden JJ, Workum JD, Van De Sande D, Hilling DE, Jung C, et al. </w:t>
      </w:r>
      <w:r w:rsidRPr="00AD0ECC">
        <w:t>Operationalization of Artificial Intelligence Applications in the Intensive Care Unit: A Systematic Review. JAMA Netw Open. 2025 Jul 23;8(7):e2522866. doi:10.1001/jamanetworkopen.2025.22866</w:t>
      </w:r>
    </w:p>
    <w:p w14:paraId="7928E60C" w14:textId="77777777" w:rsidR="00AD0ECC" w:rsidRPr="00AD0ECC" w:rsidRDefault="00AD0ECC" w:rsidP="00AD0ECC">
      <w:pPr>
        <w:pStyle w:val="Literaturverzeichnis"/>
      </w:pPr>
      <w:r w:rsidRPr="00AD0ECC">
        <w:t>13.</w:t>
      </w:r>
      <w:r w:rsidRPr="00AD0ECC">
        <w:tab/>
        <w:t>Kwong JCC, Erdman L, Khondker A, Skreta M, Goldenberg A, McCradden MD, et al. The silent trial - the bridge between bench-to-bedside clinical AI applications. Front Digit Health. 2022 Aug 16;4:929508. doi:10.3389/fdgth.2022.929508</w:t>
      </w:r>
    </w:p>
    <w:p w14:paraId="310E52B2" w14:textId="77777777" w:rsidR="00AD0ECC" w:rsidRPr="00AD0ECC" w:rsidRDefault="00AD0ECC" w:rsidP="00AD0ECC">
      <w:pPr>
        <w:pStyle w:val="Literaturverzeichnis"/>
      </w:pPr>
      <w:r w:rsidRPr="00AD0ECC">
        <w:t>14.</w:t>
      </w:r>
      <w:r w:rsidRPr="00AD0ECC">
        <w:tab/>
        <w:t>Xu Z, Zhao C, Scales CD, Henao R, Goldstein BA. Predicting in-hospital length of stay: a two-stage modeling approach to account for highly skewed data. BMC Med Inform Decis Mak. 2022 Dec;22(1):110. doi:10.1186/s12911-022-01855-0</w:t>
      </w:r>
    </w:p>
    <w:p w14:paraId="0D8745B8" w14:textId="77777777" w:rsidR="00AD0ECC" w:rsidRPr="00AD0ECC" w:rsidRDefault="00AD0ECC" w:rsidP="00AD0ECC">
      <w:pPr>
        <w:pStyle w:val="Literaturverzeichnis"/>
      </w:pPr>
      <w:r w:rsidRPr="00AD0ECC">
        <w:t>15.</w:t>
      </w:r>
      <w:r w:rsidRPr="00AD0ECC">
        <w:tab/>
        <w:t>Verburg IWM, De Keizer NF, De Jonge E, Peek N. Comparison of Regression Methods for Modeling Intensive Care Length of Stay. Salluh JIF, editor. PLoS ONE. 2014 Oct 31;9(10):e109684. doi:10.1371/journal.pone.0109684</w:t>
      </w:r>
    </w:p>
    <w:p w14:paraId="198A4929" w14:textId="77777777" w:rsidR="00AD0ECC" w:rsidRPr="00AD0ECC" w:rsidRDefault="00AD0ECC" w:rsidP="00AD0ECC">
      <w:pPr>
        <w:pStyle w:val="Literaturverzeichnis"/>
      </w:pPr>
      <w:r w:rsidRPr="00AD0ECC">
        <w:t>16.</w:t>
      </w:r>
      <w:r w:rsidRPr="00AD0ECC">
        <w:tab/>
        <w:t>Rocheteau E, Liò P, Hyland S. Temporal Pointwise Convolutional Networks for Length of Stay Prediction in the Intensive Care Unit. In: Proceedings of the Conference on Health, Inference, and Learning [Internet]. 2021 [cited 2026 Jun 23]. p. 58–68. Available from: http://arxiv.org/abs/2007.09483 doi:10.1145/3450439.3451860</w:t>
      </w:r>
    </w:p>
    <w:p w14:paraId="69256EE7" w14:textId="77777777" w:rsidR="00AD0ECC" w:rsidRPr="00AD0ECC" w:rsidRDefault="00AD0ECC" w:rsidP="00AD0ECC">
      <w:pPr>
        <w:pStyle w:val="Literaturverzeichnis"/>
      </w:pPr>
      <w:r w:rsidRPr="00AD0ECC">
        <w:rPr>
          <w:lang w:val="de-DE"/>
        </w:rPr>
        <w:t>17.</w:t>
      </w:r>
      <w:r w:rsidRPr="00AD0ECC">
        <w:rPr>
          <w:lang w:val="de-DE"/>
        </w:rPr>
        <w:tab/>
        <w:t xml:space="preserve">Stolper E, Van de Wiel M, Van Royen P, Van Bokhoven M, Van der Weijden T, Dinant GJ. </w:t>
      </w:r>
      <w:r w:rsidRPr="00AD0ECC">
        <w:t>Gut feelings as a third track in general practitioners’ diagnostic reasoning. J Gen Intern Med. 2011 Feb;26(2):197–203. doi:10.1007/s11606-010-1524-5 PubMed PMID: 20967509; PubMed Central PMCID: PMC3019314.</w:t>
      </w:r>
    </w:p>
    <w:p w14:paraId="5C1C78EB" w14:textId="77777777" w:rsidR="00AD0ECC" w:rsidRPr="00AD0ECC" w:rsidRDefault="00AD0ECC" w:rsidP="00AD0ECC">
      <w:pPr>
        <w:pStyle w:val="Literaturverzeichnis"/>
      </w:pPr>
      <w:r w:rsidRPr="00AD0ECC">
        <w:t>18.</w:t>
      </w:r>
      <w:r w:rsidRPr="00AD0ECC">
        <w:tab/>
        <w:t>Van Den Brink N, Holbrechts B, Brand PLP, Stolper ECF, Van Royen P. Role of intuitive knowledge in the diagnostic reasoning of hospital specialists: a focus group study. BMJ Open. 2019 Jan;9(1):e022724. doi:10.1136/bmjopen-2018-022724</w:t>
      </w:r>
    </w:p>
    <w:p w14:paraId="5F59FBB8" w14:textId="52CB9E9A" w:rsidR="001A47B3" w:rsidRDefault="00AD0ECC" w:rsidP="001A47B3">
      <w:pPr>
        <w:jc w:val="both"/>
      </w:pPr>
      <w:r>
        <w:fldChar w:fldCharType="end"/>
      </w:r>
    </w:p>
    <w:p w14:paraId="3DCA6388" w14:textId="77777777" w:rsidR="001A47B3" w:rsidRDefault="001A47B3" w:rsidP="001A47B3">
      <w:pPr>
        <w:jc w:val="both"/>
      </w:pPr>
    </w:p>
    <w:p w14:paraId="2FC439C0" w14:textId="77777777" w:rsidR="001A47B3" w:rsidRDefault="001A47B3" w:rsidP="001A47B3">
      <w:pPr>
        <w:jc w:val="both"/>
      </w:pPr>
    </w:p>
    <w:p w14:paraId="0CB17A27" w14:textId="77777777" w:rsidR="001A47B3" w:rsidRDefault="001A47B3" w:rsidP="001A47B3">
      <w:pPr>
        <w:jc w:val="both"/>
      </w:pPr>
    </w:p>
    <w:p w14:paraId="35E914DF" w14:textId="77777777" w:rsidR="001A47B3" w:rsidRDefault="001A47B3" w:rsidP="001A47B3">
      <w:pPr>
        <w:jc w:val="both"/>
      </w:pPr>
    </w:p>
    <w:p w14:paraId="2E03D76B" w14:textId="77777777" w:rsidR="001A47B3" w:rsidRDefault="001A47B3" w:rsidP="001A47B3">
      <w:pPr>
        <w:jc w:val="both"/>
      </w:pPr>
    </w:p>
    <w:p w14:paraId="1CE2CCF3" w14:textId="77777777" w:rsidR="001A47B3" w:rsidRDefault="001A47B3" w:rsidP="001A47B3">
      <w:pPr>
        <w:jc w:val="both"/>
      </w:pPr>
    </w:p>
    <w:p w14:paraId="197BED19" w14:textId="77777777" w:rsidR="001A47B3" w:rsidRDefault="001A47B3" w:rsidP="001A47B3">
      <w:pPr>
        <w:jc w:val="both"/>
      </w:pPr>
    </w:p>
    <w:p w14:paraId="35CEED4B" w14:textId="77777777" w:rsidR="001A47B3" w:rsidRDefault="001A47B3" w:rsidP="001A47B3">
      <w:pPr>
        <w:jc w:val="both"/>
      </w:pPr>
    </w:p>
    <w:p w14:paraId="5B55A890" w14:textId="77777777" w:rsidR="001A47B3" w:rsidRDefault="001A47B3" w:rsidP="001A47B3">
      <w:pPr>
        <w:jc w:val="both"/>
      </w:pPr>
    </w:p>
    <w:p w14:paraId="601A31DA" w14:textId="77777777" w:rsidR="001A47B3" w:rsidRDefault="001A47B3" w:rsidP="001A47B3">
      <w:pPr>
        <w:jc w:val="both"/>
      </w:pPr>
    </w:p>
    <w:p w14:paraId="1A405339" w14:textId="77777777" w:rsidR="001A47B3" w:rsidRDefault="001A47B3" w:rsidP="001A47B3">
      <w:pPr>
        <w:jc w:val="both"/>
      </w:pPr>
    </w:p>
    <w:p w14:paraId="1F37D437" w14:textId="77777777" w:rsidR="001A47B3" w:rsidRDefault="001A47B3" w:rsidP="001A47B3">
      <w:pPr>
        <w:jc w:val="both"/>
      </w:pPr>
    </w:p>
    <w:p w14:paraId="1A1A9BC3" w14:textId="77777777" w:rsidR="001A47B3" w:rsidRDefault="001A47B3" w:rsidP="001A47B3">
      <w:pPr>
        <w:jc w:val="both"/>
        <w:rPr>
          <w:rFonts w:asciiTheme="majorHAnsi" w:eastAsiaTheme="majorEastAsia" w:hAnsiTheme="majorHAnsi" w:cstheme="majorBidi"/>
          <w:b/>
          <w:bCs/>
          <w:color w:val="1F4E79"/>
          <w:sz w:val="30"/>
          <w:szCs w:val="28"/>
        </w:rPr>
      </w:pPr>
      <w:r w:rsidRPr="001A47B3">
        <w:rPr>
          <w:rFonts w:asciiTheme="majorHAnsi" w:eastAsiaTheme="majorEastAsia" w:hAnsiTheme="majorHAnsi" w:cstheme="majorBidi"/>
          <w:b/>
          <w:bCs/>
          <w:color w:val="1F4E79"/>
          <w:sz w:val="30"/>
          <w:szCs w:val="28"/>
        </w:rPr>
        <w:t>Acknowledgements</w:t>
      </w:r>
    </w:p>
    <w:p w14:paraId="09D63A1F" w14:textId="77777777" w:rsidR="001A47B3" w:rsidRPr="001A47B3" w:rsidRDefault="001A47B3" w:rsidP="001A47B3">
      <w:pPr>
        <w:jc w:val="both"/>
        <w:rPr>
          <w:lang w:val="en-GB"/>
        </w:rPr>
      </w:pPr>
      <w:r w:rsidRPr="001A47B3">
        <w:rPr>
          <w:lang w:val="en-GB"/>
        </w:rPr>
        <w:t>We thank the physicians of the surgical and anesthesiology departments at University Hospital Augsburg for participating in the study. Amadeo Tunyi assists with the software implementation. Jonas Kolonko carried out the data preparation.</w:t>
      </w:r>
    </w:p>
    <w:p w14:paraId="7A80662A" w14:textId="77777777" w:rsidR="001A47B3" w:rsidRDefault="001A47B3" w:rsidP="001A47B3">
      <w:pPr>
        <w:jc w:val="both"/>
        <w:rPr>
          <w:lang w:val="en-GB"/>
        </w:rPr>
      </w:pPr>
      <w:r w:rsidRPr="001A47B3">
        <w:rPr>
          <w:rFonts w:asciiTheme="majorHAnsi" w:eastAsiaTheme="majorEastAsia" w:hAnsiTheme="majorHAnsi" w:cstheme="majorBidi"/>
          <w:b/>
          <w:bCs/>
          <w:color w:val="1F4E79"/>
          <w:sz w:val="30"/>
          <w:szCs w:val="28"/>
        </w:rPr>
        <w:t>Funding</w:t>
      </w:r>
      <w:r w:rsidRPr="001A47B3">
        <w:rPr>
          <w:lang w:val="en-GB"/>
        </w:rPr>
        <w:t xml:space="preserve"> </w:t>
      </w:r>
    </w:p>
    <w:p w14:paraId="2ADC4E39" w14:textId="77777777" w:rsidR="001A47B3" w:rsidRPr="001A47B3" w:rsidRDefault="001A47B3" w:rsidP="001A47B3">
      <w:pPr>
        <w:jc w:val="both"/>
        <w:rPr>
          <w:lang w:val="en-GB"/>
        </w:rPr>
      </w:pPr>
      <w:r w:rsidRPr="001A47B3">
        <w:rPr>
          <w:lang w:val="en-GB"/>
        </w:rPr>
        <w:t>This work was conducted as part of the KISIK project, which is funded by the German Federal Ministry of Education and Research (BMBF). (Funding reference number: 16SV9030).</w:t>
      </w:r>
    </w:p>
    <w:p w14:paraId="60B1A903" w14:textId="77777777" w:rsidR="001A47B3" w:rsidRPr="001A47B3" w:rsidRDefault="001A47B3" w:rsidP="001A47B3">
      <w:pPr>
        <w:jc w:val="both"/>
        <w:rPr>
          <w:lang w:val="en-GB"/>
        </w:rPr>
      </w:pPr>
      <w:r w:rsidRPr="001A47B3">
        <w:rPr>
          <w:lang w:val="en-GB"/>
        </w:rPr>
        <w:t>A.Althammer receives funding from the ARISE Clinician Scientist Program of the Augsburg Medical Faculty and the Else Kröner-Fresenius-Stiftung.</w:t>
      </w:r>
    </w:p>
    <w:p w14:paraId="1AADBCCC" w14:textId="77777777" w:rsidR="001A47B3" w:rsidRDefault="001A47B3" w:rsidP="001A47B3">
      <w:pPr>
        <w:jc w:val="both"/>
        <w:rPr>
          <w:lang w:val="en-GB"/>
        </w:rPr>
      </w:pPr>
      <w:r w:rsidRPr="001A47B3">
        <w:rPr>
          <w:rFonts w:asciiTheme="majorHAnsi" w:eastAsiaTheme="majorEastAsia" w:hAnsiTheme="majorHAnsi" w:cstheme="majorBidi"/>
          <w:b/>
          <w:bCs/>
          <w:color w:val="1F4E79"/>
          <w:sz w:val="30"/>
          <w:szCs w:val="28"/>
        </w:rPr>
        <w:t>Conflicts of Interest</w:t>
      </w:r>
      <w:r w:rsidRPr="001A47B3">
        <w:rPr>
          <w:lang w:val="en-GB"/>
        </w:rPr>
        <w:t xml:space="preserve"> </w:t>
      </w:r>
    </w:p>
    <w:p w14:paraId="16309662" w14:textId="77777777" w:rsidR="001A47B3" w:rsidRPr="001A47B3" w:rsidRDefault="001A47B3" w:rsidP="001A47B3">
      <w:pPr>
        <w:jc w:val="both"/>
        <w:rPr>
          <w:lang w:val="en-GB"/>
        </w:rPr>
      </w:pPr>
      <w:r w:rsidRPr="001A47B3">
        <w:rPr>
          <w:lang w:val="en-GB"/>
        </w:rPr>
        <w:t>The authors declare that there are no conflicts of interest.</w:t>
      </w:r>
    </w:p>
    <w:p w14:paraId="6105F0E3" w14:textId="77777777" w:rsidR="001A47B3" w:rsidRDefault="001A47B3" w:rsidP="001A47B3">
      <w:pPr>
        <w:jc w:val="both"/>
        <w:rPr>
          <w:lang w:val="en-GB"/>
        </w:rPr>
      </w:pPr>
      <w:r w:rsidRPr="001A47B3">
        <w:rPr>
          <w:rFonts w:asciiTheme="majorHAnsi" w:eastAsiaTheme="majorEastAsia" w:hAnsiTheme="majorHAnsi" w:cstheme="majorBidi"/>
          <w:b/>
          <w:bCs/>
          <w:color w:val="1F4E79"/>
          <w:sz w:val="30"/>
          <w:szCs w:val="28"/>
        </w:rPr>
        <w:t>Ethics</w:t>
      </w:r>
      <w:r w:rsidRPr="001A47B3">
        <w:rPr>
          <w:lang w:val="en-GB"/>
        </w:rPr>
        <w:t xml:space="preserve"> </w:t>
      </w:r>
    </w:p>
    <w:p w14:paraId="3BF712A6" w14:textId="77777777" w:rsidR="001A47B3" w:rsidRPr="001A47B3" w:rsidRDefault="001A47B3" w:rsidP="001A47B3">
      <w:pPr>
        <w:jc w:val="both"/>
        <w:rPr>
          <w:lang w:val="en-GB"/>
        </w:rPr>
      </w:pPr>
      <w:r w:rsidRPr="001A47B3">
        <w:rPr>
          <w:lang w:val="en-GB"/>
        </w:rPr>
        <w:t>LMU Munich, Project No. 24-0336 (registry: DRKS00037851).</w:t>
      </w:r>
    </w:p>
    <w:p w14:paraId="10935083" w14:textId="77777777" w:rsidR="001A47B3" w:rsidRDefault="001A47B3" w:rsidP="001A47B3">
      <w:pPr>
        <w:pStyle w:val="berschrift1"/>
      </w:pPr>
      <w:r>
        <w:t>Reporting, data and code availability</w:t>
      </w:r>
    </w:p>
    <w:p w14:paraId="7E845BC5" w14:textId="77777777" w:rsidR="001A47B3" w:rsidRPr="001A47B3" w:rsidRDefault="001A47B3" w:rsidP="001A47B3">
      <w:pPr>
        <w:jc w:val="both"/>
        <w:rPr>
          <w:sz w:val="20"/>
        </w:rPr>
      </w:pPr>
      <w:r>
        <w:rPr>
          <w:sz w:val="20"/>
        </w:rPr>
        <w:t xml:space="preserve">This study is reported in accordance with the TRIPOD+AI statement. Analysis code is available in the project repository; patient-level data cannot be shared and remain at the originating institution, subject to ethics approval and data-protection clearance. </w:t>
      </w:r>
      <w:r w:rsidRPr="001A47B3">
        <w:rPr>
          <w:sz w:val="20"/>
        </w:rPr>
        <w:t>For data access inquiries, please contact the corresponding author</w:t>
      </w:r>
    </w:p>
    <w:p w14:paraId="12A871C8" w14:textId="36C19EE3" w:rsidR="000D54FE" w:rsidRDefault="000D54FE"/>
    <w:sectPr w:rsidR="000D54FE"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ander Althammer" w:date="2026-06-23T00:49:00Z" w:initials="AA">
    <w:p w14:paraId="6C20FC6D" w14:textId="77777777" w:rsidR="00AD0ECC" w:rsidRDefault="00AD0ECC" w:rsidP="00AD0ECC">
      <w:pPr>
        <w:pStyle w:val="Kommentartext"/>
      </w:pPr>
      <w:r>
        <w:rPr>
          <w:rStyle w:val="Kommentarzeichen"/>
        </w:rPr>
        <w:annotationRef/>
      </w:r>
      <w:r>
        <w:t>Grafik noch besser lesbar machen</w:t>
      </w:r>
    </w:p>
  </w:comment>
  <w:comment w:id="1" w:author="Alexander Althammer" w:date="2026-06-23T00:51:00Z" w:initials="AA">
    <w:p w14:paraId="10552062" w14:textId="77777777" w:rsidR="00AD0ECC" w:rsidRDefault="00AD0ECC" w:rsidP="00AD0ECC">
      <w:pPr>
        <w:pStyle w:val="Kommentartext"/>
      </w:pPr>
      <w:r>
        <w:rPr>
          <w:rStyle w:val="Kommentarzeichen"/>
        </w:rPr>
        <w:annotationRef/>
      </w:r>
      <w:r>
        <w:t>Noch untersuchen, welche Fälle ML besser macht als OÄ und als Argumentation für Human-in-the-Loop heranziehen.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20FC6D" w15:done="0"/>
  <w15:commentEx w15:paraId="105520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0FE5D9" w16cex:dateUtc="2026-06-22T22:49:00Z"/>
  <w16cex:commentExtensible w16cex:durableId="736B1975" w16cex:dateUtc="2026-06-22T22: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20FC6D" w16cid:durableId="180FE5D9"/>
  <w16cid:commentId w16cid:paraId="10552062" w16cid:durableId="736B197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917006704">
    <w:abstractNumId w:val="8"/>
  </w:num>
  <w:num w:numId="2" w16cid:durableId="1691638831">
    <w:abstractNumId w:val="6"/>
  </w:num>
  <w:num w:numId="3" w16cid:durableId="1253928576">
    <w:abstractNumId w:val="5"/>
  </w:num>
  <w:num w:numId="4" w16cid:durableId="1221943167">
    <w:abstractNumId w:val="4"/>
  </w:num>
  <w:num w:numId="5" w16cid:durableId="1099640446">
    <w:abstractNumId w:val="7"/>
  </w:num>
  <w:num w:numId="6" w16cid:durableId="1463034053">
    <w:abstractNumId w:val="3"/>
  </w:num>
  <w:num w:numId="7" w16cid:durableId="291980608">
    <w:abstractNumId w:val="2"/>
  </w:num>
  <w:num w:numId="8" w16cid:durableId="1520970729">
    <w:abstractNumId w:val="1"/>
  </w:num>
  <w:num w:numId="9" w16cid:durableId="8735458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Althammer">
    <w15:presenceInfo w15:providerId="Windows Live" w15:userId="f3e214f66702fb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4FE"/>
    <w:rsid w:val="0015074B"/>
    <w:rsid w:val="001A47B3"/>
    <w:rsid w:val="00296374"/>
    <w:rsid w:val="0029639D"/>
    <w:rsid w:val="002E2CD5"/>
    <w:rsid w:val="00326F90"/>
    <w:rsid w:val="00357C01"/>
    <w:rsid w:val="003A5C64"/>
    <w:rsid w:val="003C5A20"/>
    <w:rsid w:val="004708E0"/>
    <w:rsid w:val="004810BB"/>
    <w:rsid w:val="004D64BE"/>
    <w:rsid w:val="0056461D"/>
    <w:rsid w:val="00582D01"/>
    <w:rsid w:val="0063163B"/>
    <w:rsid w:val="00674630"/>
    <w:rsid w:val="0072389F"/>
    <w:rsid w:val="00741832"/>
    <w:rsid w:val="008E7DA7"/>
    <w:rsid w:val="00947234"/>
    <w:rsid w:val="00A33ACA"/>
    <w:rsid w:val="00AA1D8D"/>
    <w:rsid w:val="00AD0ECC"/>
    <w:rsid w:val="00B149FF"/>
    <w:rsid w:val="00B47730"/>
    <w:rsid w:val="00C567E9"/>
    <w:rsid w:val="00CB0664"/>
    <w:rsid w:val="00DC6D1A"/>
    <w:rsid w:val="00F557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72A88F"/>
  <w14:defaultImageDpi w14:val="300"/>
  <w15:docId w15:val="{93ADE13B-2A05-4316-803D-46114F968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Calibri" w:hAnsi="Calibri"/>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tzhaltertext">
    <w:name w:val="Placeholder Text"/>
    <w:basedOn w:val="Absatz-Standardschriftart"/>
    <w:uiPriority w:val="99"/>
    <w:semiHidden/>
    <w:rsid w:val="00741832"/>
    <w:rPr>
      <w:color w:val="666666"/>
    </w:rPr>
  </w:style>
  <w:style w:type="character" w:styleId="Hyperlink">
    <w:name w:val="Hyperlink"/>
    <w:basedOn w:val="Absatz-Standardschriftart"/>
    <w:uiPriority w:val="99"/>
    <w:unhideWhenUsed/>
    <w:rsid w:val="0063163B"/>
    <w:rPr>
      <w:color w:val="0000FF" w:themeColor="hyperlink"/>
      <w:u w:val="single"/>
    </w:rPr>
  </w:style>
  <w:style w:type="paragraph" w:styleId="Literaturverzeichnis">
    <w:name w:val="Bibliography"/>
    <w:basedOn w:val="Standard"/>
    <w:next w:val="Standard"/>
    <w:uiPriority w:val="37"/>
    <w:unhideWhenUsed/>
    <w:rsid w:val="0063163B"/>
    <w:pPr>
      <w:tabs>
        <w:tab w:val="left" w:pos="264"/>
      </w:tabs>
      <w:spacing w:after="240" w:line="240" w:lineRule="auto"/>
      <w:ind w:left="264" w:hanging="264"/>
    </w:pPr>
  </w:style>
  <w:style w:type="character" w:styleId="Kommentarzeichen">
    <w:name w:val="annotation reference"/>
    <w:basedOn w:val="Absatz-Standardschriftart"/>
    <w:uiPriority w:val="99"/>
    <w:semiHidden/>
    <w:unhideWhenUsed/>
    <w:rsid w:val="00AD0ECC"/>
    <w:rPr>
      <w:sz w:val="16"/>
      <w:szCs w:val="16"/>
    </w:rPr>
  </w:style>
  <w:style w:type="paragraph" w:styleId="Kommentartext">
    <w:name w:val="annotation text"/>
    <w:basedOn w:val="Standard"/>
    <w:link w:val="KommentartextZchn"/>
    <w:uiPriority w:val="99"/>
    <w:unhideWhenUsed/>
    <w:rsid w:val="00AD0ECC"/>
    <w:pPr>
      <w:spacing w:line="240" w:lineRule="auto"/>
    </w:pPr>
    <w:rPr>
      <w:sz w:val="20"/>
      <w:szCs w:val="20"/>
    </w:rPr>
  </w:style>
  <w:style w:type="character" w:customStyle="1" w:styleId="KommentartextZchn">
    <w:name w:val="Kommentartext Zchn"/>
    <w:basedOn w:val="Absatz-Standardschriftart"/>
    <w:link w:val="Kommentartext"/>
    <w:uiPriority w:val="99"/>
    <w:rsid w:val="00AD0ECC"/>
    <w:rPr>
      <w:rFonts w:ascii="Calibri" w:hAnsi="Calibri"/>
      <w:sz w:val="20"/>
      <w:szCs w:val="20"/>
    </w:rPr>
  </w:style>
  <w:style w:type="paragraph" w:styleId="Kommentarthema">
    <w:name w:val="annotation subject"/>
    <w:basedOn w:val="Kommentartext"/>
    <w:next w:val="Kommentartext"/>
    <w:link w:val="KommentarthemaZchn"/>
    <w:uiPriority w:val="99"/>
    <w:semiHidden/>
    <w:unhideWhenUsed/>
    <w:rsid w:val="00AD0ECC"/>
    <w:rPr>
      <w:b/>
      <w:bCs/>
    </w:rPr>
  </w:style>
  <w:style w:type="character" w:customStyle="1" w:styleId="KommentarthemaZchn">
    <w:name w:val="Kommentarthema Zchn"/>
    <w:basedOn w:val="KommentartextZchn"/>
    <w:link w:val="Kommentarthema"/>
    <w:uiPriority w:val="99"/>
    <w:semiHidden/>
    <w:rsid w:val="00AD0ECC"/>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1.pn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mailto:alexander.althammer@uk-augsburg.de" TargetMode="Externa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9E0975-E92C-48B0-AA8B-1DB336CBB4F8}">
  <we:reference id="wa200001361" version="2.129.3.0" store="de-DE" storeType="OMEX"/>
  <we:alternateReferences>
    <we:reference id="WA200001361" version="2.129.3.0" store="" storeType="OMEX"/>
  </we:alternateReferences>
  <we:properties>
    <we:property name="paperpal-document-id" value="&quot;84803858-8938-4adb-8cb6-6da191d7420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11188</Words>
  <Characters>66462</Characters>
  <Application>Microsoft Office Word</Application>
  <DocSecurity>0</DocSecurity>
  <Lines>1582</Lines>
  <Paragraphs>872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76778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Althammer</cp:lastModifiedBy>
  <cp:revision>8</cp:revision>
  <dcterms:created xsi:type="dcterms:W3CDTF">2026-06-22T21:25:00Z</dcterms:created>
  <dcterms:modified xsi:type="dcterms:W3CDTF">2026-06-23T06:24:00Z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id="tDcCwaa8"/&gt;&lt;style id="http://www.zotero.org/styles/nlm-citation-sequence" locale="en-GB" hasBibliography="1" bibliographyStyleHasBeenSet="1"/&gt;&lt;prefs&gt;&lt;pref name="fieldType" value="Field"/&gt;&lt;/prefs&gt;&lt;</vt:lpwstr>
  </property>
  <property fmtid="{D5CDD505-2E9C-101B-9397-08002B2CF9AE}" pid="3" name="ZOTERO_PREF_2">
    <vt:lpwstr>/data&gt;</vt:lpwstr>
  </property>
</Properties>
</file>