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Mono-bold.ttf" ContentType="application/x-font-ttf"/>
  <Override PartName="/word/fonts/RobotoMono-boldItalic.ttf" ContentType="application/x-font-ttf"/>
  <Override PartName="/word/fonts/RobotoMono-italic.ttf" ContentType="application/x-font-ttf"/>
  <Override PartName="/word/fonts/RobotoMon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8"/>
          <w:szCs w:val="28"/>
          <w:rtl w:val="0"/>
        </w:rPr>
        <w:t xml:space="preserve">PRIMO DIAGRAMMA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>
        <w:drawing>
          <wp:inline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SECONDO DIAGRAMMA</w:t>
      </w:r>
    </w:p>
    <w:p w:rsidR="00000000" w:rsidDel="00000000" w:rsidP="00000000" w:rsidRDefault="00000000" w:rsidRPr="00000000" w14:paraId="00000009">
      <w:pPr>
        <w:rPr/>
      </w:pPr>
      <w:r>
        <w:drawing>
          <wp:inline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gFU85UKg2mL4esH3khOZnyNtQ==">CgMxLjA4AHIhMUFoUUZsSTZZMk1ZckVpTXEyTFRZOGZQRzB0Qlg5Tjdk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