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Solution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Define Functional and Non-Functional Requirements:</w:t>
      </w:r>
    </w:p>
    <w:p>
      <w:pPr>
        <w:pStyle w:val="ListParagraph"/>
        <w:numPr>
          <w:ilvl w:val="0"/>
          <w:numId w:val="2"/>
        </w:numPr>
        <w:spacing w:after="80" w:line="265"/>
      </w:pPr>
      <w:r>
        <w:rPr>
          <w:sz w:val="21"/>
          <w:szCs w:val="21"/>
        </w:rPr>
        <w:t xml:space="preserve">Functional Requirements (FR) define specific behaviors, functions, or features of the system (What the system should do).</w:t>
      </w:r>
    </w:p>
    <w:p>
      <w:pPr>
        <w:pStyle w:val="ListParagraph"/>
        <w:numPr>
          <w:ilvl w:val="0"/>
          <w:numId w:val="2"/>
        </w:numPr>
        <w:spacing w:after="80" w:line="265"/>
      </w:pPr>
      <w:r>
        <w:rPr>
          <w:sz w:val="21"/>
          <w:szCs w:val="21"/>
        </w:rPr>
        <w:t xml:space="preserve">Non-Functional Requirements (NFR) specify the criteria that judge the operation of a system, rather than specific behaviors (How the system should be).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Step 1: Functional Requirements (FR)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5300"/>
        <w:gridCol w:w="10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Requirement Category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required for the current version — the form is open to any applicant. Future scope: staff login for reviewing flagged applications.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user roles in the current version. Future scope: role-based access separating applicants from bank reviewers.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External interfaces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currently — the trained model is loaded locally from approval_model.pkl; no external APIs or databases are called.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Transactions / processing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single synchronous transaction per submission: form data → preprocessing → model prediction → rendered result, all within one HTTP request/response cycle.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Reporting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Displays a single Approved/Denied result with a friendly message and color-coded styling. No historical dashboard yet.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approval/denial decision is driven entirely by the trained Random Forest model's classification output (0 = Low Risk, 1 = High Risk).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Compliance to laws or regulations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personal data is persisted; all submitted data exists only in-memory for the duration of a single prediction request.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Graceful error handling: invalid or missing form inputs return a friendly error message instead of a server crash.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Step 2: Non-Functional Requirements (NFR)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300"/>
        <w:gridCol w:w="21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NFR Category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Target Metric / Acceptance Criteria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Performance &amp; Speed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prediction pipeline (preprocessing + inference) should return a result almost instantly after submission.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Page/result renders in &lt; 2 seconds locally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Current version handles one request at a time on the Flask development server.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Future: support concurrent users via a production WSGI server (e.g., Gunicorn)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Security &amp; Data Privacy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applicant data is stored server-side; data lives only in-memory for the request.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Future: add HTTPS and input sanitization for public deployment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Reliability &amp; Availability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try/except handling around the preprocessing and prediction logic prevents crashes on bad input.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unhandled server errors during normal use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Usability &amp; Accessibility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Plain-language labels, full-word dropdowns, and color-coded results reduce cognitive load.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Clear, readable UI with adequate color contrast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Modular preprocessing code (feature alignment via model.feature_names_in_) keeps the app maintainable as the model evolves.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Preprocessing logic reusable if the model is retrained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2026-07-04T06:42:17.007Z</dcterms:created>
  <dcterms:modified xsi:type="dcterms:W3CDTF">2026-07-04T06:42:17.007Z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