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 xml:space="preserve">Solution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04 July 2026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CCAP-2026-01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Solution Architecture Diagram:</w:t>
      </w:r>
    </w:p>
    <w:p>
      <w:pPr>
        <w:spacing w:after="150" w:line="270"/>
      </w:pPr>
      <w:r>
        <w:rPr>
          <w:sz w:val="21"/>
          <w:szCs w:val="21"/>
        </w:rPr>
        <w:t xml:space="preserve">High-level representation of the system across the Presentation, Application, and Data layers.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Layer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Presentation / Client Layer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Web App — index.html styled with vanilla CSS (glassmorphism) and JavaScript (canvas-confetti)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↓↑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 POST submission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Application / Core Logic Layer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Flask app.py — Home route (/), Predict route (/predict): form-data capture → preprocessing (pandas one-hot encoding + column reindexing) → Random Forest inference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↓↑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 load at startup / prediction at request time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/ Storage Layer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approval_model.pkl (serialized trained model) — no live database; application_record.csv &amp; credit_record.csv used only offline during training</w:t>
            </w:r>
          </w:p>
        </w:tc>
      </w:tr>
    </w:tbl>
    <w:p>
      <w:pPr>
        <w:spacing w:after="120"/>
      </w:pP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Component Description Table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Component Name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Description / Role in Architecture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Technologies Used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Collects applicant details through a single-page form and renders the dynamically styled Approved/Denied result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HTML, CSS, JavaScript, canvas-confetti, Google Fonts (Inter)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 Logic Service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Receives form submissions, converts human-friendly inputs to model-native format, one-hot encodes categorical fields, and reindexes columns to match the trained model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Python, Flask, Pandas, NumPy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ML Inference Engine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Loads the pre-trained model once at startup and returns a Low Risk / High Risk classification for each submitted profile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Scikit-Learn (Random Forest), Pickle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Store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Holds the serialized trained model used for inference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approval_model.pkl (file-based, no database)</w:t>
            </w:r>
          </w:p>
        </w:tc>
      </w:tr>
    </w:tbl>
    <w:p>
      <w:pPr>
        <w:spacing w:after="120"/>
      </w:pPr>
    </w:p>
    <w:p>
      <w:pPr>
        <w:spacing w:after="150" w:line="270"/>
      </w:pPr>
      <w:r>
        <w:rPr>
          <w:i/>
          <w:iCs/>
          <w:sz w:val="20"/>
          <w:szCs w:val="20"/>
        </w:rPr>
        <w:t xml:space="preserve">Note: This project does not use a live database, so no ER diagram is included — the only “data store” is the serialized model file loaded at application startup.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2026-07-04T06:42:49.897Z</dcterms:created>
  <dcterms:modified xsi:type="dcterms:W3CDTF">2026-07-04T06:42:49.897Z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