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w:t>
      </w:r>
      <w:proofErr w:type="gramStart"/>
      <w:r>
        <w:t>Of</w:t>
      </w:r>
      <w:proofErr w:type="gramEnd"/>
      <w:r>
        <w:t xml:space="preserve">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xml:space="preserve">, don’t speak to my </w:t>
      </w:r>
      <w:proofErr w:type="gramStart"/>
      <w:r>
        <w:t>family!…</w:t>
      </w:r>
      <w:proofErr w:type="gramEnd"/>
      <w:r>
        <w:t xml:space="preserve">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06A68E5E" w:rsidR="005828BA" w:rsidRDefault="005828BA" w:rsidP="005828BA">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05528B65" w:rsidR="005828BA" w:rsidRDefault="005828BA" w:rsidP="005828BA">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00055890" w:rsidR="00090917" w:rsidRDefault="00090917" w:rsidP="00A26A01">
      <w:r w:rsidRPr="00090917">
        <w:rPr>
          <w:b/>
          <w:bCs/>
          <w:u w:val="single"/>
        </w:rPr>
        <w:t>Artificial Intelligence</w:t>
      </w:r>
      <w:r>
        <w:t xml:space="preserve"> is a label which refers to any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3681626A" w:rsidR="00090917" w:rsidRPr="00090917" w:rsidRDefault="00090917" w:rsidP="00A26A01">
      <w:r>
        <w:rPr>
          <w:b/>
          <w:bCs/>
          <w:u w:val="single"/>
        </w:rPr>
        <w:lastRenderedPageBreak/>
        <w:t>Synthetic Behaviour</w:t>
      </w:r>
      <w:r>
        <w:t xml:space="preserve"> can only currently be enabled via the combination of some form of </w:t>
      </w:r>
      <w:r>
        <w:rPr>
          <w:b/>
          <w:bCs/>
          <w:u w:val="single"/>
        </w:rPr>
        <w:t>M</w:t>
      </w:r>
      <w:r w:rsidRPr="00090917">
        <w:rPr>
          <w:b/>
          <w:bCs/>
          <w:u w:val="single"/>
        </w:rPr>
        <w:t xml:space="preserve">echanical </w:t>
      </w:r>
      <w:r>
        <w:rPr>
          <w:b/>
          <w:bCs/>
          <w:u w:val="single"/>
        </w:rPr>
        <w:t>P</w:t>
      </w:r>
      <w:r w:rsidRPr="00090917">
        <w:rPr>
          <w:b/>
          <w:bCs/>
          <w:u w:val="single"/>
        </w:rPr>
        <w:t>rocessor</w:t>
      </w:r>
      <w:r>
        <w:t xml:space="preserve"> and a </w:t>
      </w:r>
      <w:r>
        <w:rPr>
          <w:b/>
          <w:bCs/>
          <w:u w:val="single"/>
        </w:rPr>
        <w:t>D</w:t>
      </w:r>
      <w:r w:rsidRPr="00090917">
        <w:rPr>
          <w:b/>
          <w:bCs/>
          <w:u w:val="single"/>
        </w:rPr>
        <w:t xml:space="preserve">igital or </w:t>
      </w:r>
      <w:r w:rsidR="00ED4662">
        <w:rPr>
          <w:b/>
          <w:bCs/>
          <w:u w:val="single"/>
        </w:rPr>
        <w:t>Robotic</w:t>
      </w:r>
      <w:r w:rsidRPr="00090917">
        <w:rPr>
          <w:b/>
          <w:bCs/>
          <w:u w:val="single"/>
        </w:rPr>
        <w:t xml:space="preserve"> </w:t>
      </w:r>
      <w:r>
        <w:rPr>
          <w:b/>
          <w:bCs/>
          <w:u w:val="single"/>
        </w:rPr>
        <w:t>P</w:t>
      </w:r>
      <w:r w:rsidRPr="00090917">
        <w:rPr>
          <w:b/>
          <w:bCs/>
          <w:u w:val="single"/>
        </w:rPr>
        <w:t>latform</w:t>
      </w:r>
      <w:r>
        <w:t xml:space="preserve"> which the processor directly 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55AB0D19" w:rsidR="00090917" w:rsidRDefault="00090917" w:rsidP="009750D8">
      <w:pPr>
        <w:ind w:left="1418"/>
      </w:pPr>
      <w:r>
        <w:t>+</w:t>
      </w:r>
      <w:r w:rsidRPr="00693764">
        <w:rPr>
          <w:b/>
          <w:bCs/>
          <w:u w:val="single"/>
        </w:rPr>
        <w:t>Analogue</w:t>
      </w:r>
      <w:r>
        <w:t xml:space="preserve"> – Shaped physical components moved by a form of energy</w:t>
      </w:r>
      <w:r w:rsidR="00693764">
        <w:t>,</w:t>
      </w:r>
      <w:r>
        <w:t xml:space="preserve"> </w:t>
      </w:r>
      <w:proofErr w:type="gramStart"/>
      <w:r>
        <w:t>in order to</w:t>
      </w:r>
      <w:proofErr w:type="gramEnd"/>
      <w:r>
        <w:t xml:space="preserve">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3B1AE264" w:rsidR="00EC25DC" w:rsidRDefault="00693764" w:rsidP="009750D8">
      <w:pPr>
        <w:ind w:left="1418" w:hanging="11"/>
      </w:pPr>
      <w:r>
        <w:t>+</w:t>
      </w:r>
      <w:r w:rsidR="00EC25DC" w:rsidRPr="00693764">
        <w:rPr>
          <w:b/>
          <w:bCs/>
          <w:u w:val="single"/>
        </w:rPr>
        <w:t>Digital</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0F02464F"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581038">
        <w:t xml:space="preserve">. (I encapsulate with apostrophes, because one and zero are human understandable interpretations of an open or closed gate, which computers don’t </w:t>
      </w:r>
      <w:proofErr w:type="gramStart"/>
      <w:r w:rsidR="00581038">
        <w:t>actually appreciate</w:t>
      </w:r>
      <w:proofErr w:type="gramEnd"/>
      <w:r w:rsidR="00581038">
        <w:t>… They just chug through millions to quadrillions of them per second, simultaneously opening and closing likewise number</w:t>
      </w:r>
      <w:r w:rsidR="004F62D7">
        <w:t>s</w:t>
      </w:r>
      <w:r w:rsidR="00581038">
        <w:t xml:space="preserve"> of gates</w:t>
      </w:r>
      <w:r w:rsidR="00581038" w:rsidRPr="007C4907">
        <w:t>).</w:t>
      </w:r>
    </w:p>
    <w:p w14:paraId="0B3D6B6F" w14:textId="732FE21C" w:rsidR="009750D8" w:rsidRPr="007C4907"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is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represented by 0000 which is in the case of this example telling the processor to use an add operand on the two next steps</w:t>
      </w:r>
      <w:r w:rsidR="003C3C2B">
        <w:t xml:space="preserve"> {the </w:t>
      </w:r>
      <w:r w:rsidR="003C3C2B">
        <w:lastRenderedPageBreak/>
        <w:t>next two binary 4-bit steps… in our example holding the values 00</w:t>
      </w:r>
      <w:r w:rsidR="007E3685">
        <w:t>11</w:t>
      </w:r>
      <w:r w:rsidR="003C3C2B">
        <w:t xml:space="preserve"> [step offset 1] and 0100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computation step four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 example</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w:t>
      </w:r>
      <w:proofErr w:type="gramStart"/>
      <w:r w:rsidR="009750D8" w:rsidRPr="007C4907">
        <w:t>actually has</w:t>
      </w:r>
      <w:proofErr w:type="gramEnd"/>
      <w:r w:rsidR="009750D8" w:rsidRPr="007C4907">
        <w:t xml:space="preserve"> far reaching ramifications outside of science, just waiting to </w:t>
      </w:r>
      <w:r w:rsidR="00387764">
        <w:t xml:space="preserve">be </w:t>
      </w:r>
      <w:r w:rsidR="009750D8" w:rsidRPr="007C4907">
        <w:t>explored, discovered, experienced, and promoted or restricted!</w:t>
      </w:r>
    </w:p>
    <w:p w14:paraId="612F3A70" w14:textId="72C221A5" w:rsidR="00693764" w:rsidRDefault="00EC25DC" w:rsidP="009750D8">
      <w:pPr>
        <w:ind w:left="1418" w:hanging="11"/>
      </w:pPr>
      <w:r w:rsidRPr="007C4907">
        <w:t>+</w:t>
      </w:r>
      <w:r w:rsidRPr="007C4907">
        <w:rPr>
          <w:b/>
          <w:bCs/>
          <w:u w:val="single"/>
        </w:rPr>
        <w:t>Magnetic</w:t>
      </w:r>
      <w:r w:rsidRPr="007C4907">
        <w:t xml:space="preserve"> –</w:t>
      </w:r>
      <w:r w:rsidR="00D03281" w:rsidRPr="007C4907">
        <w:t xml:space="preserve"> I won’t discuss them much yet, because it is very e</w:t>
      </w:r>
      <w:r w:rsidR="00D03281">
        <w:t>arly days, and I suspect that all current form-factors will be obsolete well before magnetic processors reach mass-market... All I will say, is that they are currently mainly used as a form of short-term, high-performance data storage. This is only a small part of their computation usefulness for mankind in my opinion.</w:t>
      </w:r>
    </w:p>
    <w:p w14:paraId="22D61BE0" w14:textId="41A6E37C" w:rsidR="00693764" w:rsidRPr="00683526" w:rsidRDefault="00693764" w:rsidP="009750D8">
      <w:pPr>
        <w:ind w:left="1418" w:hanging="11"/>
      </w:pPr>
      <w:r>
        <w:t>+</w:t>
      </w:r>
      <w:r w:rsidRPr="00693764">
        <w:rPr>
          <w:b/>
          <w:bCs/>
          <w:u w:val="single"/>
        </w:rPr>
        <w:t>Optical</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w:t>
      </w:r>
      <w:proofErr w:type="gramStart"/>
      <w:r w:rsidR="00683526">
        <w:t>The reason,</w:t>
      </w:r>
      <w:proofErr w:type="gramEnd"/>
      <w:r w:rsidR="00683526">
        <w:t xml:space="preserve"> is that </w:t>
      </w:r>
      <w:r w:rsidR="001064AF">
        <w:t>optical processors</w:t>
      </w:r>
      <w:r w:rsidR="00683526">
        <w:t xml:space="preserve"> are magnitudes better than digital processors in terms of energy efficiency, and also </w:t>
      </w:r>
      <w:r w:rsidR="001064AF">
        <w:t>magnitudes</w:t>
      </w:r>
      <w:r w:rsidR="00683526">
        <w:t xml:space="preserve"> better than digital processors in terms of size efficiency.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optical processors</w:t>
      </w:r>
      <w:r w:rsidR="00683526">
        <w:t>. This is a massive shame for the technological future of mankind this century!</w:t>
      </w:r>
    </w:p>
    <w:p w14:paraId="6696110A" w14:textId="699A6E88" w:rsidR="00EC25DC" w:rsidRDefault="00693764" w:rsidP="009750D8">
      <w:pPr>
        <w:ind w:left="1418"/>
      </w:pPr>
      <w:r>
        <w:t>+</w:t>
      </w:r>
      <w:r w:rsidRPr="00693764">
        <w:rPr>
          <w:b/>
          <w:bCs/>
          <w:u w:val="single"/>
        </w:rPr>
        <w:t>Quantum</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54FFB2C"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proofErr w:type="gramStart"/>
      <w:r w:rsidR="001064AF">
        <w:t xml:space="preserve">pseudo </w:t>
      </w:r>
      <w:r w:rsidR="00436671" w:rsidRPr="00436671">
        <w:rPr>
          <w:b/>
          <w:bCs/>
          <w:u w:val="single"/>
        </w:rPr>
        <w:t>B</w:t>
      </w:r>
      <w:r w:rsidRPr="00436671">
        <w:rPr>
          <w:b/>
          <w:bCs/>
          <w:u w:val="single"/>
        </w:rPr>
        <w:t>inary</w:t>
      </w:r>
      <w:proofErr w:type="gramEnd"/>
      <w:r w:rsidRPr="00436671">
        <w:rPr>
          <w:b/>
          <w:bCs/>
          <w:u w:val="single"/>
        </w:rPr>
        <w:t xml:space="preserve">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w:t>
      </w:r>
      <w:r>
        <w:lastRenderedPageBreak/>
        <w:t>so fast within a specific computation chamber</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 can compute, because they are initialised to a specific state preceding each measurement, and the particles involved in the computation chamber probabilistically undergo </w:t>
      </w:r>
      <w:r w:rsidR="00EE3472">
        <w:t xml:space="preserve">extremely similar, if not </w:t>
      </w:r>
      <w:proofErr w:type="gramStart"/>
      <w:r w:rsidR="00EE3472">
        <w:t xml:space="preserve">exactly </w:t>
      </w:r>
      <w:r w:rsidR="00E173BC">
        <w:t>the same</w:t>
      </w:r>
      <w:proofErr w:type="gramEnd"/>
      <w:r w:rsidR="00E173BC">
        <w:t xml:space="preserv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tab/>
        <w:t>+</w:t>
      </w:r>
      <w:r w:rsidRPr="003439C9">
        <w:rPr>
          <w:b/>
          <w:bCs/>
          <w:u w:val="single"/>
        </w:rPr>
        <w:t>Train</w:t>
      </w:r>
      <w:r w:rsidR="008C5C82">
        <w:rPr>
          <w:b/>
          <w:bCs/>
          <w:u w:val="single"/>
        </w:rPr>
        <w:t>/Training</w:t>
      </w:r>
      <w:r w:rsidR="00B534C5">
        <w:t xml:space="preserve"> – The computation of sets of averages </w:t>
      </w:r>
      <w:proofErr w:type="gramStart"/>
      <w:r w:rsidR="00B534C5">
        <w:t>in order to</w:t>
      </w:r>
      <w:proofErr w:type="gramEnd"/>
      <w:r w:rsidR="00B534C5">
        <w:t xml:space="preserve"> </w:t>
      </w:r>
      <w:r w:rsidR="00C30B21">
        <w:t>describe aggregate characteristics of sets of input data samples</w:t>
      </w:r>
      <w:r w:rsidR="006320A0">
        <w:t>… For example, a trendline which plots the average across variable Y, as variable X increases.</w:t>
      </w:r>
    </w:p>
    <w:p w14:paraId="2C482D7F" w14:textId="0B28CF48" w:rsidR="008D625B" w:rsidRPr="00B534C5"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C30B21">
        <w:t>… For example</w:t>
      </w:r>
      <w:r w:rsidR="006320A0">
        <w:t>, if variable Y</w:t>
      </w:r>
      <w:r w:rsidR="00C4506D">
        <w:t xml:space="preserve"> (beers drunk)</w:t>
      </w:r>
      <w:r w:rsidR="006320A0">
        <w:t xml:space="preserve"> goes up by 20% and if variable Z </w:t>
      </w:r>
      <w:r w:rsidR="00C4506D">
        <w:t xml:space="preserve">(women present) </w:t>
      </w:r>
      <w:r w:rsidR="006320A0">
        <w:t xml:space="preserve">goes up by 40%, then variable A </w:t>
      </w:r>
      <w:r w:rsidR="00C4506D">
        <w:t xml:space="preserve">(Michael’s ‘botheration’) </w:t>
      </w:r>
      <w:r w:rsidR="006320A0">
        <w:t>will go down by 50%</w:t>
      </w:r>
      <w:r w:rsidR="00B534C5">
        <w:t>.</w:t>
      </w:r>
    </w:p>
    <w:p w14:paraId="0DD3CF8D" w14:textId="3A3F5AEF" w:rsidR="008D625B" w:rsidRDefault="008D625B" w:rsidP="006320A0">
      <w:pPr>
        <w:ind w:left="709"/>
      </w:pPr>
      <w:r>
        <w:t>+</w:t>
      </w:r>
      <w:r w:rsidRPr="008D625B">
        <w:rPr>
          <w:b/>
          <w:bCs/>
          <w:u w:val="single"/>
        </w:rPr>
        <w:t>Latent-Space</w:t>
      </w:r>
      <w:r w:rsidR="006320A0">
        <w:t xml:space="preserve"> – This is bounded by the greatest and least limit value</w:t>
      </w:r>
      <w:r w:rsidR="006E7E6B">
        <w:t>s within</w:t>
      </w:r>
      <w:r w:rsidR="006320A0">
        <w:t xml:space="preserve"> </w:t>
      </w:r>
      <w:r w:rsidR="006E7E6B">
        <w:t>which</w:t>
      </w:r>
      <w:r w:rsidR="006320A0">
        <w:t xml:space="preserve"> the </w:t>
      </w:r>
      <w:r w:rsidR="006320A0" w:rsidRPr="006E7E6B">
        <w:rPr>
          <w:b/>
          <w:bCs/>
          <w:u w:val="single"/>
        </w:rPr>
        <w:t xml:space="preserve">Model </w:t>
      </w:r>
      <w:proofErr w:type="gramStart"/>
      <w:r w:rsidR="006320A0" w:rsidRPr="006E7E6B">
        <w:rPr>
          <w:b/>
          <w:bCs/>
          <w:u w:val="single"/>
        </w:rPr>
        <w:t>Of</w:t>
      </w:r>
      <w:proofErr w:type="gramEnd"/>
      <w:r w:rsidR="006320A0" w:rsidRPr="006E7E6B">
        <w:rPr>
          <w:b/>
          <w:bCs/>
          <w:u w:val="single"/>
        </w:rPr>
        <w:t xml:space="preserve">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w:t>
      </w:r>
    </w:p>
    <w:p w14:paraId="59EF9212" w14:textId="53D43F58" w:rsidR="002143FE" w:rsidRDefault="002143FE" w:rsidP="002143FE">
      <w:pPr>
        <w:ind w:left="1276"/>
      </w:pPr>
      <w:r>
        <w:t>+</w:t>
      </w:r>
      <w:r w:rsidRPr="002143FE">
        <w:rPr>
          <w:b/>
          <w:bCs/>
          <w:u w:val="single"/>
        </w:rPr>
        <w:t>Inference</w:t>
      </w:r>
      <w:r>
        <w:t xml:space="preserve"> – Executing a similarity algorithm which checks Latent-Space for any reasonably close pattern matches for the new inference data sample</w:t>
      </w:r>
      <w:r w:rsidR="00214974">
        <w:t xml:space="preserve">, </w:t>
      </w:r>
      <w:proofErr w:type="gramStart"/>
      <w:r w:rsidR="00214974">
        <w:t>in order to</w:t>
      </w:r>
      <w:proofErr w:type="gramEnd"/>
      <w:r w:rsidR="00214974">
        <w:t xml:space="preserve"> obtain a close or average output </w:t>
      </w:r>
      <w:r w:rsidR="00214974" w:rsidRPr="00214974">
        <w:rPr>
          <w:b/>
          <w:bCs/>
          <w:u w:val="single"/>
        </w:rPr>
        <w:t>Classification</w:t>
      </w:r>
      <w:r>
        <w:t>.</w:t>
      </w:r>
    </w:p>
    <w:p w14:paraId="313D38EC" w14:textId="10E8BAB1" w:rsidR="006E7E6B" w:rsidRDefault="00033779" w:rsidP="006E7E6B">
      <w:pPr>
        <w:ind w:left="1276"/>
      </w:pPr>
      <w:r w:rsidRPr="00033779">
        <w:lastRenderedPageBreak/>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Or </w:t>
      </w:r>
      <w:proofErr w:type="gramStart"/>
      <w:r w:rsidR="0066020D">
        <w:t>Loose :</w:t>
      </w:r>
      <w:proofErr w:type="gramEnd"/>
      <w:r w:rsidR="0066020D">
        <w:t xml:space="preserve"> </w:t>
      </w:r>
      <w:r w:rsidR="006E7E6B">
        <w:t xml:space="preserve">Never/Always trust, depending on the </w:t>
      </w:r>
      <w:r w:rsidR="006E7E6B">
        <w:rPr>
          <w:b/>
          <w:bCs/>
          <w:u w:val="single"/>
        </w:rPr>
        <w:t>P</w:t>
      </w:r>
      <w:r w:rsidR="006E7E6B" w:rsidRPr="006E7E6B">
        <w:rPr>
          <w:b/>
          <w:bCs/>
          <w:u w:val="single"/>
        </w:rPr>
        <w:t>olarity Of the Decision</w:t>
      </w:r>
      <w:r w:rsidR="006E7E6B">
        <w:t>) to 100% (</w:t>
      </w:r>
      <w:r w:rsidR="0066020D">
        <w:t xml:space="preserve">6-Sigma Or Loose : </w:t>
      </w:r>
      <w:r w:rsidR="006E7E6B">
        <w:t xml:space="preserve">Never/Always trust, depending on the </w:t>
      </w:r>
      <w:r w:rsidR="006E7E6B">
        <w:rPr>
          <w:b/>
          <w:bCs/>
          <w:u w:val="single"/>
        </w:rPr>
        <w:t>P</w:t>
      </w:r>
      <w:r w:rsidR="006E7E6B" w:rsidRPr="006E7E6B">
        <w:rPr>
          <w:b/>
          <w:bCs/>
          <w:u w:val="single"/>
        </w:rPr>
        <w:t>olarity Of the Decision</w:t>
      </w:r>
      <w:r w:rsidR="006E7E6B">
        <w:t>).</w:t>
      </w:r>
    </w:p>
    <w:p w14:paraId="50313AEA" w14:textId="3A08782F"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up and so is profitable</w:t>
      </w:r>
      <w:r w:rsidR="00256479">
        <w:t xml:space="preserve"> to invest in,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only give the suggestion a </w:t>
      </w:r>
      <w:r w:rsidR="00256479" w:rsidRPr="00256479">
        <w:rPr>
          <w:b/>
          <w:bCs/>
          <w:u w:val="single"/>
        </w:rPr>
        <w:t>Degree Of Significance</w:t>
      </w:r>
      <w:r w:rsidR="00256479">
        <w:t xml:space="preserve"> of 0.</w:t>
      </w:r>
      <w:r w:rsidR="003D32F3">
        <w:t>0000</w:t>
      </w:r>
      <w:r w:rsidR="00256479">
        <w:t>1%</w:t>
      </w:r>
      <w:r w:rsidR="003D32F3">
        <w:t xml:space="preserve"> (Lean)</w:t>
      </w:r>
      <w:r w:rsidR="00256479">
        <w:t xml:space="preserve">, then you clearly want to think at least twice before following its suggestions… Conversely if your model tells you that war with China will happen this century, but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actually give the suggestion a </w:t>
      </w:r>
      <w:r w:rsidR="00256479" w:rsidRPr="00256479">
        <w:rPr>
          <w:b/>
          <w:bCs/>
          <w:u w:val="single"/>
        </w:rPr>
        <w:t>Degree Of Significance</w:t>
      </w:r>
      <w:r w:rsidR="00256479">
        <w:t xml:space="preserve"> of 80%, then you clearly want to immediately and massively increase your military budget, and then also probably inaugurate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0572D555"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8C78E4">
        <w:t xml:space="preserve">person-originated </w:t>
      </w:r>
      <w:r w:rsidR="00214974">
        <w:t xml:space="preserve">output classifications have been combined with similarity matching algorithms in order to automatically generate richer classification labels {and </w:t>
      </w:r>
      <w:proofErr w:type="spellStart"/>
      <w:proofErr w:type="gramStart"/>
      <w:r w:rsidR="00214974">
        <w:t>some times</w:t>
      </w:r>
      <w:proofErr w:type="spellEnd"/>
      <w:proofErr w:type="gram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proofErr w:type="gramStart"/>
      <w:r w:rsidR="008D625B">
        <w:t>at the moment</w:t>
      </w:r>
      <w:proofErr w:type="gramEnd"/>
      <w:r w:rsidR="008D625B">
        <w:t xml:space="preserve">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4E491AD5" w:rsidR="009E6F40" w:rsidRDefault="003B7A72" w:rsidP="003B7A72">
      <w:r>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r>
        <w:rPr>
          <w:b/>
          <w:bCs/>
          <w:u w:val="single"/>
        </w:rPr>
        <w:t>O</w:t>
      </w:r>
      <w:r w:rsidRPr="003B7A72">
        <w:rPr>
          <w:b/>
          <w:bCs/>
          <w:u w:val="single"/>
        </w:rPr>
        <w:t xml:space="preserve">r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However, given current advancement levels in AI, classifications seem to 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sectPr w:rsidR="009E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90917"/>
    <w:rsid w:val="000F2234"/>
    <w:rsid w:val="001064AF"/>
    <w:rsid w:val="00107347"/>
    <w:rsid w:val="00124B28"/>
    <w:rsid w:val="001310B8"/>
    <w:rsid w:val="001A6227"/>
    <w:rsid w:val="002143FE"/>
    <w:rsid w:val="00214974"/>
    <w:rsid w:val="00256479"/>
    <w:rsid w:val="00273CBC"/>
    <w:rsid w:val="002C6F44"/>
    <w:rsid w:val="00336B7B"/>
    <w:rsid w:val="003439C9"/>
    <w:rsid w:val="00367661"/>
    <w:rsid w:val="00387764"/>
    <w:rsid w:val="003A4160"/>
    <w:rsid w:val="003B7A72"/>
    <w:rsid w:val="003C3C2B"/>
    <w:rsid w:val="003D32F3"/>
    <w:rsid w:val="00425C39"/>
    <w:rsid w:val="00436671"/>
    <w:rsid w:val="004C14AC"/>
    <w:rsid w:val="004F62D7"/>
    <w:rsid w:val="00581038"/>
    <w:rsid w:val="005828BA"/>
    <w:rsid w:val="0059697A"/>
    <w:rsid w:val="005A5668"/>
    <w:rsid w:val="00612537"/>
    <w:rsid w:val="006320A0"/>
    <w:rsid w:val="0066020D"/>
    <w:rsid w:val="00683526"/>
    <w:rsid w:val="00693764"/>
    <w:rsid w:val="006E4C06"/>
    <w:rsid w:val="006E7E6B"/>
    <w:rsid w:val="00767956"/>
    <w:rsid w:val="007C4907"/>
    <w:rsid w:val="007E198E"/>
    <w:rsid w:val="007E3685"/>
    <w:rsid w:val="00827225"/>
    <w:rsid w:val="00845466"/>
    <w:rsid w:val="008629EA"/>
    <w:rsid w:val="00865127"/>
    <w:rsid w:val="00880FCA"/>
    <w:rsid w:val="008C5C82"/>
    <w:rsid w:val="008C78E4"/>
    <w:rsid w:val="008D625B"/>
    <w:rsid w:val="008E3272"/>
    <w:rsid w:val="009750D8"/>
    <w:rsid w:val="009E6EDC"/>
    <w:rsid w:val="009E6F40"/>
    <w:rsid w:val="00A26A01"/>
    <w:rsid w:val="00A74EC1"/>
    <w:rsid w:val="00AD427A"/>
    <w:rsid w:val="00B17BDA"/>
    <w:rsid w:val="00B333FF"/>
    <w:rsid w:val="00B534C5"/>
    <w:rsid w:val="00B85B47"/>
    <w:rsid w:val="00B93294"/>
    <w:rsid w:val="00BD7A70"/>
    <w:rsid w:val="00C24C78"/>
    <w:rsid w:val="00C30B21"/>
    <w:rsid w:val="00C4506D"/>
    <w:rsid w:val="00C6380C"/>
    <w:rsid w:val="00C77F01"/>
    <w:rsid w:val="00D03281"/>
    <w:rsid w:val="00D12A02"/>
    <w:rsid w:val="00D8695D"/>
    <w:rsid w:val="00DA0809"/>
    <w:rsid w:val="00DE318B"/>
    <w:rsid w:val="00DF0A4E"/>
    <w:rsid w:val="00DF360C"/>
    <w:rsid w:val="00DF7ECD"/>
    <w:rsid w:val="00E173BC"/>
    <w:rsid w:val="00EC25DC"/>
    <w:rsid w:val="00EC30E9"/>
    <w:rsid w:val="00ED4662"/>
    <w:rsid w:val="00EE3472"/>
    <w:rsid w:val="00F46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56</cp:revision>
  <dcterms:created xsi:type="dcterms:W3CDTF">2024-08-06T15:10:00Z</dcterms:created>
  <dcterms:modified xsi:type="dcterms:W3CDTF">2024-08-06T21:03:00Z</dcterms:modified>
</cp:coreProperties>
</file>