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0A843D" w14:textId="77777777" w:rsidR="002401BB" w:rsidRDefault="00000000">
      <w:pPr>
        <w:pStyle w:val="a8"/>
      </w:pPr>
      <w:r>
        <w:t>无人叉车纠偏方案</w:t>
      </w:r>
    </w:p>
    <w:p w14:paraId="337FEDCE" w14:textId="77777777" w:rsidR="002401BB" w:rsidRDefault="002401BB"/>
    <w:p w14:paraId="4DD2C2EA" w14:textId="77777777" w:rsidR="002401BB" w:rsidRDefault="00000000">
      <w:r>
        <w:t xml:space="preserve">1. </w:t>
      </w:r>
      <w:r>
        <w:t>基于传统方法的激光雷达目标检测（</w:t>
      </w:r>
      <w:hyperlink r:id="rId4">
        <w:r>
          <w:rPr>
            <w:rStyle w:val="a4"/>
          </w:rPr>
          <w:t>https://zhuanlan.zhihu.com/p/79044872</w:t>
        </w:r>
      </w:hyperlink>
      <w:r>
        <w:t>）</w:t>
      </w:r>
    </w:p>
    <w:p w14:paraId="298C6500" w14:textId="77777777" w:rsidR="002401BB" w:rsidRDefault="00000000">
      <w:r>
        <w:t>使用的是</w:t>
      </w:r>
      <w:r>
        <w:t>C++</w:t>
      </w:r>
      <w:r>
        <w:t>的</w:t>
      </w:r>
      <w:r>
        <w:t>PCL</w:t>
      </w:r>
      <w:r>
        <w:t>点</w:t>
      </w:r>
      <w:proofErr w:type="gramStart"/>
      <w:r>
        <w:t>云处理库</w:t>
      </w:r>
      <w:proofErr w:type="gramEnd"/>
      <w:r>
        <w:t>来检测</w:t>
      </w:r>
    </w:p>
    <w:p w14:paraId="0A0B6A40" w14:textId="77777777" w:rsidR="002401BB" w:rsidRDefault="00000000">
      <w:r>
        <w:t>主要思路是先通过</w:t>
      </w:r>
      <w:proofErr w:type="gramStart"/>
      <w:r>
        <w:t>单帧点云</w:t>
      </w:r>
      <w:proofErr w:type="gramEnd"/>
      <w:r>
        <w:t>数据，再连续点云数据处理</w:t>
      </w:r>
    </w:p>
    <w:p w14:paraId="72F7C408" w14:textId="77777777" w:rsidR="002401BB" w:rsidRDefault="00000000">
      <w:r>
        <w:t>单</w:t>
      </w:r>
      <w:proofErr w:type="gramStart"/>
      <w:r>
        <w:t>帧处理</w:t>
      </w:r>
      <w:proofErr w:type="gramEnd"/>
      <w:r>
        <w:t>思路：视图初始化</w:t>
      </w:r>
      <w:r>
        <w:t>-</w:t>
      </w:r>
      <w:r>
        <w:t>导入数据</w:t>
      </w:r>
      <w:r>
        <w:t>-</w:t>
      </w:r>
      <w:r>
        <w:t>下采样（滤波）</w:t>
      </w:r>
      <w:r>
        <w:t>-</w:t>
      </w:r>
      <w:r>
        <w:t>平面分割</w:t>
      </w:r>
      <w:r>
        <w:t>-</w:t>
      </w:r>
      <w:r>
        <w:t>聚类</w:t>
      </w:r>
      <w:r>
        <w:t>-</w:t>
      </w:r>
      <w:r>
        <w:t>加框</w:t>
      </w:r>
    </w:p>
    <w:p w14:paraId="26285C3F" w14:textId="77777777" w:rsidR="002401BB" w:rsidRDefault="00000000">
      <w:r>
        <w:t>有相应的代码：</w:t>
      </w:r>
      <w:hyperlink r:id="rId5">
        <w:r>
          <w:rPr>
            <w:rStyle w:val="a4"/>
          </w:rPr>
          <w:t>https://link.zhihu.com/?target=https%3A//pan.baidu.com/s/1uJl0GNEeXdgXHanitU1jWw</w:t>
        </w:r>
      </w:hyperlink>
    </w:p>
    <w:p w14:paraId="7567A1BE" w14:textId="77777777" w:rsidR="002401BB" w:rsidRDefault="00000000">
      <w:pPr>
        <w:rPr>
          <w:rFonts w:eastAsiaTheme="minorEastAsia" w:hint="eastAsia"/>
        </w:rPr>
      </w:pPr>
      <w:r>
        <w:rPr>
          <w:noProof/>
        </w:rPr>
        <w:drawing>
          <wp:inline distT="0" distB="0" distL="0" distR="0" wp14:anchorId="3045D72F" wp14:editId="6EDED354">
            <wp:extent cx="2896235" cy="1850390"/>
            <wp:effectExtent l="0" t="0" r="0" b="0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235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8597E" w14:textId="77777777" w:rsidR="0050020B" w:rsidRPr="0050020B" w:rsidRDefault="0050020B">
      <w:pPr>
        <w:rPr>
          <w:rFonts w:eastAsiaTheme="minorEastAsia" w:hint="eastAsia"/>
        </w:rPr>
      </w:pPr>
    </w:p>
    <w:p w14:paraId="23B4F375" w14:textId="77777777" w:rsidR="002401BB" w:rsidRDefault="00000000">
      <w:r>
        <w:t xml:space="preserve">2. </w:t>
      </w:r>
      <w:r>
        <w:t>基于激光雷达的托盘位姿识别算法及验证</w:t>
      </w:r>
    </w:p>
    <w:p w14:paraId="25BC9299" w14:textId="77777777" w:rsidR="0050020B" w:rsidRDefault="00000000">
      <w:pPr>
        <w:rPr>
          <w:rFonts w:eastAsiaTheme="minorEastAsia" w:hint="eastAsia"/>
        </w:rPr>
      </w:pPr>
      <w:r>
        <w:rPr>
          <w:noProof/>
        </w:rPr>
        <w:drawing>
          <wp:inline distT="0" distB="0" distL="0" distR="0" wp14:anchorId="41462E8C" wp14:editId="159421BC">
            <wp:extent cx="1474470" cy="3024505"/>
            <wp:effectExtent l="0" t="0" r="0" b="4445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47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C85AD" w14:textId="7A3D88F8" w:rsidR="002401BB" w:rsidRDefault="00000000">
      <w:r>
        <w:t>该论文是用</w:t>
      </w:r>
      <w:r>
        <w:t>2D</w:t>
      </w:r>
      <w:r>
        <w:t>激光雷达进行位姿估计和托盘孔位的配对。</w:t>
      </w:r>
    </w:p>
    <w:p w14:paraId="5FD12433" w14:textId="77777777" w:rsidR="002401BB" w:rsidRDefault="00000000">
      <w:r>
        <w:t>首先根据激光束与托盘夹角和长度等变量计算托盘中心位置，然后采取增量式直线提取算法，来提取托盘平面，最后在模板提取算法计算托盘位姿上用</w:t>
      </w:r>
      <w:r>
        <w:t>k-means</w:t>
      </w:r>
      <w:r>
        <w:t>优化算法。</w:t>
      </w:r>
    </w:p>
    <w:p w14:paraId="75669729" w14:textId="77777777" w:rsidR="002401BB" w:rsidRDefault="002401BB"/>
    <w:p w14:paraId="7BC1E98A" w14:textId="77777777" w:rsidR="002401BB" w:rsidRDefault="00000000">
      <w:r>
        <w:t xml:space="preserve">3. </w:t>
      </w:r>
      <w:r>
        <w:t>激光点云</w:t>
      </w:r>
      <w:r>
        <w:t>3D</w:t>
      </w:r>
      <w:r>
        <w:t>目标检测算法之</w:t>
      </w:r>
      <w:r>
        <w:t>CenterPoint</w:t>
      </w:r>
    </w:p>
    <w:p w14:paraId="592957D4" w14:textId="77777777" w:rsidR="002401BB" w:rsidRDefault="00000000">
      <w:r>
        <w:t>论文：</w:t>
      </w:r>
      <w:r>
        <w:rPr>
          <w:rStyle w:val="a4"/>
        </w:rPr>
        <w:t>https://arxiv.org/pdf/2006.11275.pdf</w:t>
      </w:r>
    </w:p>
    <w:p w14:paraId="221B543B" w14:textId="77777777" w:rsidR="002401BB" w:rsidRDefault="00000000">
      <w:r>
        <w:t>代码：</w:t>
      </w:r>
      <w:r>
        <w:fldChar w:fldCharType="begin"/>
      </w:r>
      <w:r>
        <w:instrText>HYPERLINK "https://github.com/tianweiy/CenterPoint" \h</w:instrText>
      </w:r>
      <w:r>
        <w:fldChar w:fldCharType="separate"/>
      </w:r>
      <w:r>
        <w:rPr>
          <w:rStyle w:val="a4"/>
        </w:rPr>
        <w:t>https://github.com/tianweiy/CenterPoint</w:t>
      </w:r>
      <w:r>
        <w:rPr>
          <w:rStyle w:val="a4"/>
        </w:rPr>
        <w:fldChar w:fldCharType="end"/>
      </w:r>
    </w:p>
    <w:p w14:paraId="0D7B2AB6" w14:textId="77777777" w:rsidR="002401BB" w:rsidRDefault="00000000">
      <w:r>
        <w:t>该算法通过两个阶段检测目标。第一个阶段是用一个关键点检测器去检测目标的中心点，再用中心点特征回归出目标尺寸、朝向等；第二个阶段是再根据目标的额外点特征去优化属性。</w:t>
      </w:r>
    </w:p>
    <w:p w14:paraId="49224256" w14:textId="77777777" w:rsidR="002401BB" w:rsidRDefault="00000000">
      <w:r>
        <w:lastRenderedPageBreak/>
        <w:t>3D</w:t>
      </w:r>
      <w:r>
        <w:t>目标识别简单化为贪婪的最近点匹配。</w:t>
      </w:r>
    </w:p>
    <w:p w14:paraId="4257BC40" w14:textId="77777777" w:rsidR="002401BB" w:rsidRDefault="00000000">
      <w:pPr>
        <w:rPr>
          <w:rFonts w:eastAsiaTheme="minorEastAsia" w:hint="eastAsia"/>
        </w:rPr>
      </w:pPr>
      <w:r>
        <w:rPr>
          <w:noProof/>
        </w:rPr>
        <w:drawing>
          <wp:inline distT="0" distB="0" distL="0" distR="0" wp14:anchorId="5D982219" wp14:editId="5222A155">
            <wp:extent cx="2397760" cy="2482850"/>
            <wp:effectExtent l="0" t="0" r="2540" b="0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76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05544" w14:textId="77777777" w:rsidR="0050020B" w:rsidRPr="0050020B" w:rsidRDefault="0050020B">
      <w:pPr>
        <w:rPr>
          <w:rFonts w:eastAsiaTheme="minorEastAsia" w:hint="eastAsia"/>
        </w:rPr>
      </w:pPr>
    </w:p>
    <w:p w14:paraId="3ADDC961" w14:textId="77777777" w:rsidR="002401BB" w:rsidRDefault="00000000">
      <w:r>
        <w:t>4. Pallet Pose Estimation with LIDAR and Vision for Autonomous Forklifts</w:t>
      </w:r>
    </w:p>
    <w:p w14:paraId="698357D1" w14:textId="77777777" w:rsidR="002401BB" w:rsidRDefault="00000000">
      <w:r>
        <w:t>基于激光雷达和视觉的自动叉车托盘姿态估计</w:t>
      </w:r>
    </w:p>
    <w:p w14:paraId="6C401968" w14:textId="77777777" w:rsidR="0050020B" w:rsidRDefault="0050020B">
      <w:pPr>
        <w:rPr>
          <w:rFonts w:eastAsiaTheme="minorEastAsia" w:hint="eastAsia"/>
        </w:rPr>
      </w:pPr>
      <w:r>
        <w:rPr>
          <w:noProof/>
        </w:rPr>
        <w:drawing>
          <wp:inline distT="0" distB="0" distL="0" distR="0" wp14:anchorId="5F32E078" wp14:editId="5D4C45E7">
            <wp:extent cx="2212340" cy="1706245"/>
            <wp:effectExtent l="0" t="0" r="0" b="8255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234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13342E" wp14:editId="57A48341">
            <wp:extent cx="2084705" cy="1584960"/>
            <wp:effectExtent l="0" t="0" r="0" b="0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705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CD500" w14:textId="1E4F88CE" w:rsidR="002401BB" w:rsidRDefault="00000000">
      <w:r>
        <w:t>基于激光雷达光束投射模拟的匹配准则（类似</w:t>
      </w:r>
      <w:r>
        <w:t>ICP</w:t>
      </w:r>
      <w:r>
        <w:t>算法），使用遗传算法获取托盘支柱的位置，模拟出托盘，将获得的点与实际数据中最近的点相结合，在一定阈值内，则接受托盘位置。</w:t>
      </w:r>
    </w:p>
    <w:p w14:paraId="4314464E" w14:textId="77777777" w:rsidR="002401BB" w:rsidRDefault="002401BB"/>
    <w:p w14:paraId="7BD9E7FD" w14:textId="77777777" w:rsidR="002401BB" w:rsidRDefault="00000000">
      <w:r>
        <w:t>5. Autonomous Pallet Localization and Picking for Industrial Forklifts. A Robust Range and Look Method</w:t>
      </w:r>
    </w:p>
    <w:p w14:paraId="71A5C3F4" w14:textId="3E940986" w:rsidR="002401BB" w:rsidRDefault="00000000">
      <w:r>
        <w:t>工业叉车的自动托盘定位和拣选。一种鲁棒范围和外观方法</w:t>
      </w:r>
      <w:r w:rsidR="008D751A">
        <w:rPr>
          <w:rFonts w:ascii="宋体" w:eastAsia="宋体" w:hAnsi="宋体" w:cs="宋体" w:hint="eastAsia"/>
        </w:rPr>
        <w:t>。</w:t>
      </w:r>
    </w:p>
    <w:p w14:paraId="7F5B48F8" w14:textId="748A05FE" w:rsidR="002401BB" w:rsidRPr="00863503" w:rsidRDefault="00000000">
      <w:pPr>
        <w:rPr>
          <w:rFonts w:eastAsiaTheme="minorEastAsia" w:hint="eastAsia"/>
        </w:rPr>
      </w:pPr>
      <w:r>
        <w:t>获取托盘姿态同样是用遗传算法获取的</w:t>
      </w:r>
    </w:p>
    <w:p w14:paraId="31EAF897" w14:textId="77777777" w:rsidR="0050020B" w:rsidRDefault="00000000">
      <w:pPr>
        <w:rPr>
          <w:rFonts w:eastAsiaTheme="minorEastAsia" w:hint="eastAsia"/>
        </w:rPr>
      </w:pPr>
      <w:r>
        <w:rPr>
          <w:noProof/>
        </w:rPr>
        <w:drawing>
          <wp:inline distT="0" distB="0" distL="0" distR="0" wp14:anchorId="6C9A4345" wp14:editId="78FD50FF">
            <wp:extent cx="2100580" cy="1149985"/>
            <wp:effectExtent l="0" t="0" r="0" b="0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177594" wp14:editId="721B8B10">
            <wp:extent cx="2777490" cy="1064895"/>
            <wp:effectExtent l="0" t="0" r="3810" b="1905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49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C0277" w14:textId="66431EB4" w:rsidR="002401BB" w:rsidRPr="00B24C54" w:rsidRDefault="00000000">
      <w:pPr>
        <w:rPr>
          <w:rFonts w:eastAsiaTheme="minorEastAsia" w:hint="eastAsia"/>
        </w:rPr>
      </w:pPr>
      <w:r>
        <w:t>通过从一维模型中识别初始粗糙的托盘位置和估计姿态，并将其作为初始点，通过全数据的二维模型拟合优化进行细化，可以简化和加快托盘姿态估计</w:t>
      </w:r>
    </w:p>
    <w:p w14:paraId="1297391E" w14:textId="77777777" w:rsidR="002401BB" w:rsidRDefault="002401BB"/>
    <w:p w14:paraId="4E76FBFB" w14:textId="7A6CE740" w:rsidR="002401BB" w:rsidRDefault="00000000">
      <w:pPr>
        <w:rPr>
          <w:rFonts w:eastAsiaTheme="minorEastAsia" w:hint="eastAsia"/>
        </w:rPr>
      </w:pPr>
      <w:r>
        <w:t xml:space="preserve">6. </w:t>
      </w:r>
      <w:proofErr w:type="spellStart"/>
      <w:r w:rsidR="001B42A7" w:rsidRPr="001B42A7">
        <w:t>PointNet</w:t>
      </w:r>
      <w:proofErr w:type="spellEnd"/>
      <w:r w:rsidR="001B42A7" w:rsidRPr="001B42A7">
        <w:t>: Deep Learning on Point Sets for 3D Classification and Segmentation</w:t>
      </w:r>
    </w:p>
    <w:p w14:paraId="29510A57" w14:textId="111D8992" w:rsidR="001B42A7" w:rsidRDefault="001B42A7">
      <w:pPr>
        <w:rPr>
          <w:rFonts w:ascii="宋体" w:eastAsia="宋体" w:hAnsi="宋体" w:cs="宋体"/>
        </w:rPr>
      </w:pPr>
      <w:proofErr w:type="spellStart"/>
      <w:r w:rsidRPr="001B42A7">
        <w:t>PointNet</w:t>
      </w:r>
      <w:proofErr w:type="spellEnd"/>
      <w:r w:rsidRPr="001B42A7">
        <w:rPr>
          <w:rFonts w:ascii="宋体" w:eastAsia="宋体" w:hAnsi="宋体" w:cs="宋体" w:hint="eastAsia"/>
        </w:rPr>
        <w:t>：用于</w:t>
      </w:r>
      <w:r w:rsidRPr="001B42A7">
        <w:t xml:space="preserve"> 3D </w:t>
      </w:r>
      <w:r w:rsidRPr="001B42A7">
        <w:rPr>
          <w:rFonts w:ascii="宋体" w:eastAsia="宋体" w:hAnsi="宋体" w:cs="宋体" w:hint="eastAsia"/>
        </w:rPr>
        <w:t>分类和分割的点集深度学习</w:t>
      </w:r>
    </w:p>
    <w:p w14:paraId="0D73F4D6" w14:textId="5A43350A" w:rsidR="004F37D8" w:rsidRDefault="004F37D8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论文：</w:t>
      </w:r>
      <w:r>
        <w:fldChar w:fldCharType="begin"/>
      </w:r>
      <w:r>
        <w:instrText>HYPERLINK "https://arxiv.org/pdf/1612.00593"</w:instrText>
      </w:r>
      <w:r>
        <w:fldChar w:fldCharType="separate"/>
      </w:r>
      <w:r>
        <w:rPr>
          <w:rStyle w:val="a4"/>
        </w:rPr>
        <w:t>1612.00593 (arxiv.org)</w:t>
      </w:r>
      <w:r>
        <w:fldChar w:fldCharType="end"/>
      </w:r>
    </w:p>
    <w:p w14:paraId="4602A97B" w14:textId="5579DADF" w:rsidR="001B42A7" w:rsidRPr="004F37D8" w:rsidRDefault="004F37D8">
      <w:pPr>
        <w:rPr>
          <w:rFonts w:ascii="Times New Roman" w:eastAsia="宋体" w:hAnsi="Times New Roman" w:cs="Times New Roman"/>
        </w:rPr>
      </w:pPr>
      <w:r w:rsidRPr="004F37D8">
        <w:rPr>
          <w:rFonts w:ascii="Times New Roman" w:eastAsia="宋体" w:hAnsi="Times New Roman" w:cs="Times New Roman"/>
        </w:rPr>
        <w:t>采用</w:t>
      </w:r>
      <w:r w:rsidR="001B42A7" w:rsidRPr="004F37D8">
        <w:rPr>
          <w:rFonts w:ascii="Times New Roman" w:eastAsia="宋体" w:hAnsi="Times New Roman" w:cs="Times New Roman"/>
        </w:rPr>
        <w:t>深度学习架构</w:t>
      </w:r>
      <w:r w:rsidRPr="004F37D8">
        <w:rPr>
          <w:rFonts w:ascii="Times New Roman" w:eastAsia="宋体" w:hAnsi="Times New Roman" w:cs="Times New Roman"/>
        </w:rPr>
        <w:t>，直接处理点云数据，用于</w:t>
      </w:r>
      <w:r w:rsidRPr="004F37D8">
        <w:rPr>
          <w:rFonts w:ascii="Times New Roman" w:eastAsia="宋体" w:hAnsi="Times New Roman" w:cs="Times New Roman"/>
        </w:rPr>
        <w:t>3D</w:t>
      </w:r>
      <w:r w:rsidRPr="004F37D8">
        <w:rPr>
          <w:rFonts w:ascii="Times New Roman" w:eastAsia="宋体" w:hAnsi="Times New Roman" w:cs="Times New Roman"/>
        </w:rPr>
        <w:t>分类和分割</w:t>
      </w:r>
    </w:p>
    <w:p w14:paraId="1122A156" w14:textId="77777777" w:rsidR="004F37D8" w:rsidRPr="004F37D8" w:rsidRDefault="004F37D8">
      <w:pPr>
        <w:rPr>
          <w:rFonts w:ascii="Times New Roman" w:eastAsia="宋体" w:hAnsi="Times New Roman" w:cs="Times New Roman"/>
        </w:rPr>
      </w:pPr>
    </w:p>
    <w:p w14:paraId="65D633B8" w14:textId="558C1794" w:rsidR="004F37D8" w:rsidRPr="004F37D8" w:rsidRDefault="004F37D8">
      <w:pPr>
        <w:rPr>
          <w:rFonts w:ascii="Times New Roman" w:eastAsia="宋体" w:hAnsi="Times New Roman" w:cs="Times New Roman"/>
        </w:rPr>
      </w:pPr>
      <w:r w:rsidRPr="004F37D8">
        <w:rPr>
          <w:rFonts w:ascii="Times New Roman" w:eastAsia="宋体" w:hAnsi="Times New Roman" w:cs="Times New Roman"/>
        </w:rPr>
        <w:lastRenderedPageBreak/>
        <w:t xml:space="preserve">7. </w:t>
      </w:r>
      <w:proofErr w:type="spellStart"/>
      <w:r w:rsidRPr="004F37D8">
        <w:rPr>
          <w:rFonts w:ascii="Times New Roman" w:eastAsia="宋体" w:hAnsi="Times New Roman" w:cs="Times New Roman"/>
        </w:rPr>
        <w:t>PointPillars</w:t>
      </w:r>
      <w:proofErr w:type="spellEnd"/>
      <w:r w:rsidRPr="004F37D8">
        <w:rPr>
          <w:rFonts w:ascii="Times New Roman" w:eastAsia="宋体" w:hAnsi="Times New Roman" w:cs="Times New Roman"/>
        </w:rPr>
        <w:t>: Fast Encoders for Object Detection from Point Clouds</w:t>
      </w:r>
    </w:p>
    <w:p w14:paraId="6BCC5B60" w14:textId="7DFA085E" w:rsidR="004F37D8" w:rsidRDefault="004F37D8">
      <w:pPr>
        <w:rPr>
          <w:rFonts w:ascii="Times New Roman" w:eastAsia="宋体" w:hAnsi="Times New Roman" w:cs="Times New Roman"/>
        </w:rPr>
      </w:pPr>
      <w:proofErr w:type="spellStart"/>
      <w:r w:rsidRPr="004F37D8">
        <w:rPr>
          <w:rFonts w:ascii="Times New Roman" w:eastAsia="宋体" w:hAnsi="Times New Roman" w:cs="Times New Roman"/>
        </w:rPr>
        <w:t>PointPillars</w:t>
      </w:r>
      <w:proofErr w:type="spellEnd"/>
      <w:r w:rsidRPr="004F37D8">
        <w:rPr>
          <w:rFonts w:ascii="Times New Roman" w:eastAsia="宋体" w:hAnsi="Times New Roman" w:cs="Times New Roman"/>
        </w:rPr>
        <w:t>：用于点云目标检测的快速编码器</w:t>
      </w:r>
    </w:p>
    <w:p w14:paraId="0BA8184C" w14:textId="3A60779C" w:rsidR="004F37D8" w:rsidRPr="004F37D8" w:rsidRDefault="004F37D8">
      <w:pPr>
        <w:rPr>
          <w:rFonts w:eastAsiaTheme="minorEastAsia" w:hint="eastAsia"/>
        </w:rPr>
      </w:pPr>
      <w:r>
        <w:rPr>
          <w:rFonts w:ascii="Times New Roman" w:eastAsia="宋体" w:hAnsi="Times New Roman" w:cs="Times New Roman" w:hint="eastAsia"/>
        </w:rPr>
        <w:t>论文：</w:t>
      </w:r>
      <w:hyperlink r:id="rId13" w:history="1">
        <w:r>
          <w:rPr>
            <w:rStyle w:val="a4"/>
          </w:rPr>
          <w:t>1812.05784 (arxiv.org)</w:t>
        </w:r>
      </w:hyperlink>
    </w:p>
    <w:p w14:paraId="0A83C319" w14:textId="407EADD3" w:rsidR="003052EE" w:rsidRPr="003052EE" w:rsidRDefault="003052EE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代码：</w:t>
      </w:r>
      <w:r>
        <w:rPr>
          <w:rFonts w:ascii="Times New Roman" w:eastAsia="宋体" w:hAnsi="Times New Roman" w:cs="Times New Roman"/>
        </w:rPr>
        <w:fldChar w:fldCharType="begin"/>
      </w:r>
      <w:r>
        <w:rPr>
          <w:rFonts w:ascii="Times New Roman" w:eastAsia="宋体" w:hAnsi="Times New Roman" w:cs="Times New Roman"/>
        </w:rPr>
        <w:instrText>HYPERLINK "</w:instrText>
      </w:r>
      <w:r w:rsidRPr="003052EE">
        <w:rPr>
          <w:rFonts w:ascii="Times New Roman" w:eastAsia="宋体" w:hAnsi="Times New Roman" w:cs="Times New Roman"/>
        </w:rPr>
        <w:instrText>https://github.com/nutonomy/second.pytorch</w:instrText>
      </w:r>
      <w:r>
        <w:rPr>
          <w:rFonts w:ascii="Times New Roman" w:eastAsia="宋体" w:hAnsi="Times New Roman" w:cs="Times New Roman"/>
        </w:rPr>
        <w:instrText>"</w:instrText>
      </w:r>
      <w:r>
        <w:rPr>
          <w:rFonts w:ascii="Times New Roman" w:eastAsia="宋体" w:hAnsi="Times New Roman" w:cs="Times New Roman"/>
        </w:rPr>
      </w:r>
      <w:r>
        <w:rPr>
          <w:rFonts w:ascii="Times New Roman" w:eastAsia="宋体" w:hAnsi="Times New Roman" w:cs="Times New Roman"/>
        </w:rPr>
        <w:fldChar w:fldCharType="separate"/>
      </w:r>
      <w:r w:rsidRPr="00BE4C5C">
        <w:rPr>
          <w:rStyle w:val="a4"/>
          <w:rFonts w:ascii="Times New Roman" w:eastAsia="宋体" w:hAnsi="Times New Roman" w:cs="Times New Roman"/>
        </w:rPr>
        <w:t>https://github.com/nutonomy/second.pytorch</w:t>
      </w:r>
      <w:r>
        <w:rPr>
          <w:rFonts w:ascii="Times New Roman" w:eastAsia="宋体" w:hAnsi="Times New Roman" w:cs="Times New Roman"/>
        </w:rPr>
        <w:fldChar w:fldCharType="end"/>
      </w:r>
    </w:p>
    <w:p w14:paraId="3CE6F861" w14:textId="304D371F" w:rsidR="004F37D8" w:rsidRDefault="004F37D8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能够实时</w:t>
      </w:r>
      <w:r w:rsidR="003052EE">
        <w:rPr>
          <w:rFonts w:ascii="Times New Roman" w:eastAsia="宋体" w:hAnsi="Times New Roman" w:cs="Times New Roman" w:hint="eastAsia"/>
        </w:rPr>
        <w:t>进行</w:t>
      </w:r>
      <w:r>
        <w:rPr>
          <w:rFonts w:ascii="Times New Roman" w:eastAsia="宋体" w:hAnsi="Times New Roman" w:cs="Times New Roman" w:hint="eastAsia"/>
        </w:rPr>
        <w:t>目标检测，</w:t>
      </w:r>
      <w:r w:rsidR="003052EE">
        <w:rPr>
          <w:rFonts w:ascii="Times New Roman" w:eastAsia="宋体" w:hAnsi="Times New Roman" w:cs="Times New Roman" w:hint="eastAsia"/>
        </w:rPr>
        <w:t>通过每个柱状结构对点云进行编码</w:t>
      </w:r>
      <w:r w:rsidR="008F356E">
        <w:rPr>
          <w:rFonts w:ascii="Times New Roman" w:eastAsia="宋体" w:hAnsi="Times New Roman" w:cs="Times New Roman" w:hint="eastAsia"/>
        </w:rPr>
        <w:t>，使用</w:t>
      </w:r>
      <w:proofErr w:type="spellStart"/>
      <w:r w:rsidR="008F356E">
        <w:rPr>
          <w:rFonts w:ascii="Times New Roman" w:eastAsia="宋体" w:hAnsi="Times New Roman" w:cs="Times New Roman" w:hint="eastAsia"/>
        </w:rPr>
        <w:t>PointNet</w:t>
      </w:r>
      <w:proofErr w:type="spellEnd"/>
      <w:r w:rsidR="008F356E">
        <w:rPr>
          <w:rFonts w:ascii="Times New Roman" w:eastAsia="宋体" w:hAnsi="Times New Roman" w:cs="Times New Roman" w:hint="eastAsia"/>
        </w:rPr>
        <w:t>对每个柱状结构提取点坐标和反射强度。将每个区域特征聚合成一个特征向量，形成稀疏柱状特征图。再将特征图输入到</w:t>
      </w:r>
      <w:r w:rsidR="008F356E">
        <w:rPr>
          <w:rFonts w:ascii="Times New Roman" w:eastAsia="宋体" w:hAnsi="Times New Roman" w:cs="Times New Roman" w:hint="eastAsia"/>
        </w:rPr>
        <w:t>2D CNN</w:t>
      </w:r>
      <w:r w:rsidR="008F356E">
        <w:rPr>
          <w:rFonts w:ascii="Times New Roman" w:eastAsia="宋体" w:hAnsi="Times New Roman" w:cs="Times New Roman" w:hint="eastAsia"/>
        </w:rPr>
        <w:t>中，进行检测、分类、定位。</w:t>
      </w:r>
    </w:p>
    <w:p w14:paraId="7C4839BE" w14:textId="77777777" w:rsidR="008F356E" w:rsidRDefault="008F356E">
      <w:pPr>
        <w:rPr>
          <w:rFonts w:ascii="Times New Roman" w:eastAsia="宋体" w:hAnsi="Times New Roman" w:cs="Times New Roman"/>
        </w:rPr>
      </w:pPr>
    </w:p>
    <w:p w14:paraId="0B5421F2" w14:textId="51244F26" w:rsidR="008F356E" w:rsidRPr="004F37D8" w:rsidRDefault="004310B8">
      <w:pPr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 xml:space="preserve">8. </w:t>
      </w:r>
    </w:p>
    <w:p w14:paraId="1EC7CDD7" w14:textId="77777777" w:rsidR="001B42A7" w:rsidRPr="004F37D8" w:rsidRDefault="001B42A7">
      <w:pPr>
        <w:rPr>
          <w:rFonts w:ascii="Times New Roman" w:eastAsia="宋体" w:hAnsi="Times New Roman" w:cs="Times New Roman"/>
        </w:rPr>
      </w:pPr>
    </w:p>
    <w:sectPr w:rsidR="001B42A7" w:rsidRPr="004F37D8">
      <w:pgSz w:w="11906" w:h="16838"/>
      <w:pgMar w:top="1134" w:right="1134" w:bottom="1134" w:left="1134" w:header="0" w:footer="0" w:gutter="0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Liberation Serif">
    <w:altName w:val="Times New Roman"/>
    <w:charset w:val="01"/>
    <w:family w:val="swiss"/>
    <w:pitch w:val="variable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ohit Devanagari">
    <w:altName w:val="Cambria"/>
    <w:panose1 w:val="00000000000000000000"/>
    <w:charset w:val="00"/>
    <w:family w:val="roman"/>
    <w:notTrueType/>
    <w:pitch w:val="default"/>
  </w:font>
  <w:font w:name="Noto Serif CJK SC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altName w:val="Cambria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709"/>
  <w:autoHyphenation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01BB"/>
    <w:rsid w:val="001B42A7"/>
    <w:rsid w:val="002401BB"/>
    <w:rsid w:val="003052EE"/>
    <w:rsid w:val="004310B8"/>
    <w:rsid w:val="004F37D8"/>
    <w:rsid w:val="0050020B"/>
    <w:rsid w:val="0074329B"/>
    <w:rsid w:val="00771F44"/>
    <w:rsid w:val="00863503"/>
    <w:rsid w:val="008D751A"/>
    <w:rsid w:val="008F356E"/>
    <w:rsid w:val="009C2020"/>
    <w:rsid w:val="009F7BCB"/>
    <w:rsid w:val="00B24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141EEB"/>
  <w15:docId w15:val="{8FE426B7-DF06-4652-983A-D5E1E72C37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Theme="minorEastAsia" w:hAnsi="Liberation Serif" w:cs="Lohit Devanagari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eastAsia="Noto Serif CJK SC"/>
    </w:rPr>
  </w:style>
  <w:style w:type="paragraph" w:styleId="1">
    <w:name w:val="heading 1"/>
    <w:basedOn w:val="Heading"/>
    <w:next w:val="a0"/>
    <w:uiPriority w:val="9"/>
    <w:qFormat/>
    <w:pPr>
      <w:outlineLvl w:val="0"/>
    </w:pPr>
    <w:rPr>
      <w:rFonts w:ascii="Liberation Serif" w:eastAsia="Noto Serif CJK SC" w:hAnsi="Liberation Serif"/>
      <w:b/>
      <w:bCs/>
      <w:sz w:val="48"/>
      <w:szCs w:val="4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rPr>
      <w:color w:val="000080"/>
      <w:u w:val="single"/>
    </w:rPr>
  </w:style>
  <w:style w:type="character" w:styleId="a5">
    <w:name w:val="FollowedHyperlink"/>
    <w:rPr>
      <w:color w:val="800000"/>
      <w:u w:val="single"/>
    </w:rPr>
  </w:style>
  <w:style w:type="paragraph" w:customStyle="1" w:styleId="Heading">
    <w:name w:val="Heading"/>
    <w:basedOn w:val="a"/>
    <w:next w:val="a0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a0">
    <w:name w:val="Body Text"/>
    <w:basedOn w:val="a"/>
    <w:pPr>
      <w:spacing w:after="140" w:line="276" w:lineRule="auto"/>
    </w:pPr>
  </w:style>
  <w:style w:type="paragraph" w:styleId="a6">
    <w:name w:val="List"/>
    <w:basedOn w:val="a0"/>
  </w:style>
  <w:style w:type="paragraph" w:styleId="a7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"/>
    <w:qFormat/>
    <w:pPr>
      <w:suppressLineNumbers/>
    </w:pPr>
  </w:style>
  <w:style w:type="paragraph" w:styleId="a8">
    <w:name w:val="Title"/>
    <w:basedOn w:val="Heading"/>
    <w:next w:val="a0"/>
    <w:uiPriority w:val="10"/>
    <w:qFormat/>
    <w:pPr>
      <w:jc w:val="center"/>
    </w:pPr>
    <w:rPr>
      <w:b/>
      <w:bCs/>
      <w:sz w:val="40"/>
      <w:szCs w:val="56"/>
    </w:rPr>
  </w:style>
  <w:style w:type="paragraph" w:styleId="a9">
    <w:name w:val="Subtitle"/>
    <w:basedOn w:val="Heading"/>
    <w:next w:val="a0"/>
    <w:uiPriority w:val="11"/>
    <w:qFormat/>
    <w:pPr>
      <w:spacing w:before="60"/>
      <w:jc w:val="center"/>
    </w:pPr>
    <w:rPr>
      <w:sz w:val="36"/>
      <w:szCs w:val="36"/>
    </w:rPr>
  </w:style>
  <w:style w:type="paragraph" w:customStyle="1" w:styleId="HeaderandFooter">
    <w:name w:val="Header and Footer"/>
    <w:basedOn w:val="a"/>
    <w:qFormat/>
    <w:pPr>
      <w:suppressLineNumbers/>
      <w:tabs>
        <w:tab w:val="center" w:pos="4819"/>
        <w:tab w:val="right" w:pos="9638"/>
      </w:tabs>
    </w:pPr>
  </w:style>
  <w:style w:type="paragraph" w:styleId="aa">
    <w:name w:val="header"/>
    <w:basedOn w:val="HeaderandFooter"/>
  </w:style>
  <w:style w:type="character" w:styleId="ab">
    <w:name w:val="Unresolved Mention"/>
    <w:basedOn w:val="a1"/>
    <w:uiPriority w:val="99"/>
    <w:semiHidden/>
    <w:unhideWhenUsed/>
    <w:rsid w:val="003052E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arxiv.org/pdf/1812.05784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link.zhihu.com/?target=https%3A//pan.baidu.com/s/1uJl0GNEeXdgXHanitU1jWw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hyperlink" Target="https://zhuanlan.zhihu.com/p/79044872" TargetMode="Externa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1040</TotalTime>
  <Pages>1</Pages>
  <Words>269</Words>
  <Characters>1537</Characters>
  <Application>Microsoft Office Word</Application>
  <DocSecurity>0</DocSecurity>
  <Lines>12</Lines>
  <Paragraphs>3</Paragraphs>
  <ScaleCrop>false</ScaleCrop>
  <Company/>
  <LinksUpToDate>false</LinksUpToDate>
  <CharactersWithSpaces>1803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奇 嚛</cp:lastModifiedBy>
  <cp:revision>8</cp:revision>
  <dcterms:created xsi:type="dcterms:W3CDTF">2024-07-11T23:31:00Z</dcterms:created>
  <dcterms:modified xsi:type="dcterms:W3CDTF">2024-07-14T14:33:00Z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2024-07-11T18:31:19Z</dcterms:created>
  <dc:creator/>
  <dc:description/>
  <dc:language>en-US</dc:language>
  <cp:lastModifiedBy/>
  <dcterms:modified xsi:type="dcterms:W3CDTF">2024-07-12T15:25:08Z</dcterms:modified>
  <cp:revision>18</cp:revision>
  <dc:subject/>
  <dc:title/>
</cp:coreProperties>
</file>