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Reproducing GaLore: Memory-Efficient Fine-Tuning of RoBERTa-base on SST-2</w:t>
      </w:r>
    </w:p>
    <w:p>
      <w:pPr>
        <w:spacing w:after="60" w:before="0" w:line="276"/>
        <w:jc w:val="left"/>
      </w:pPr>
      <w:r>
        <w:rPr>
          <w:rFonts w:ascii="Calibri" w:cs="Calibri" w:eastAsia="Calibri" w:hAnsi="Calibri"/>
          <w:color w:val="595959"/>
          <w:sz w:val="24"/>
          <w:szCs w:val="24"/>
        </w:rPr>
        <w:t xml:space="preserve">Machine Learning Paper Reproduction and Deployment: Final Report</w:t>
      </w:r>
    </w:p>
    <w:p>
      <w:pPr>
        <w:spacing w:after="20" w:before="0" w:line="276"/>
        <w:jc w:val="left"/>
      </w:pPr>
      <w:r>
        <w:rPr>
          <w:rFonts w:ascii="Calibri" w:cs="Calibri" w:eastAsia="Calibri" w:hAnsi="Calibri"/>
          <w:color w:val="1A1A1A"/>
          <w:sz w:val="21"/>
          <w:szCs w:val="21"/>
        </w:rPr>
        <w:t xml:space="preserve">Muhammad Umer (30622), Duaa Naz (30668), Reham Hafeez (30574)</w:t>
      </w:r>
    </w:p>
    <w:p>
      <w:pPr>
        <w:spacing w:after="20"/>
      </w:pPr>
      <w:r>
        <w:rPr>
          <w:rFonts w:ascii="Calibri" w:cs="Calibri" w:eastAsia="Calibri" w:hAnsi="Calibri"/>
          <w:color w:val="595959"/>
          <w:sz w:val="19"/>
          <w:szCs w:val="19"/>
        </w:rPr>
        <w:t xml:space="preserve">Institute of Business Administration (IBA), Karachi  |  October 2026</w:t>
      </w:r>
    </w:p>
    <w:p>
      <w:pPr>
        <w:pBdr>
          <w:bottom w:val="single" w:color="1F3864" w:sz="8" w:space="6"/>
        </w:pBdr>
        <w:spacing w:after="140"/>
      </w:pPr>
      <w:r>
        <w:rPr>
          <w:rFonts w:ascii="Calibri" w:cs="Calibri" w:eastAsia="Calibri" w:hAnsi="Calibri"/>
          <w:color w:val="595959"/>
          <w:sz w:val="19"/>
          <w:szCs w:val="19"/>
        </w:rPr>
        <w:t xml:space="preserve">Code: GitHub repository; the experiments, demo app and data for this report are on the branch </w:t>
      </w:r>
      <w:r>
        <w:rPr>
          <w:rFonts w:ascii="Consolas" w:cs="Consolas" w:eastAsia="Consolas" w:hAnsi="Consolas"/>
          <w:color w:val="595959"/>
          <w:sz w:val="19"/>
          <w:szCs w:val="19"/>
        </w:rPr>
        <w:t xml:space="preserve">milestone-3-experiments</w:t>
      </w:r>
      <w:r>
        <w:rPr>
          <w:rFonts w:ascii="Calibri" w:cs="Calibri" w:eastAsia="Calibri" w:hAnsi="Calibri"/>
          <w:color w:val="595959"/>
          <w:sz w:val="19"/>
          <w:szCs w:val="19"/>
        </w:rPr>
        <w:t xml:space="preserve">.</w:t>
      </w:r>
    </w:p>
    <w:p>
      <w:pPr>
        <w:spacing w:after="100" w:before="0" w:line="276"/>
        <w:jc w:val="left"/>
      </w:pPr>
      <w:r>
        <w:rPr>
          <w:rFonts w:ascii="Calibri" w:cs="Calibri" w:eastAsia="Calibri" w:hAnsi="Calibri"/>
          <w:b/>
          <w:bCs/>
          <w:color w:val="1A1A1A"/>
          <w:sz w:val="20"/>
          <w:szCs w:val="20"/>
        </w:rPr>
        <w:t xml:space="preserve">Summary.</w:t>
      </w:r>
      <w:r>
        <w:rPr>
          <w:rFonts w:ascii="Calibri" w:cs="Calibri" w:eastAsia="Calibri" w:hAnsi="Calibri"/>
          <w:color w:val="1A1A1A"/>
          <w:sz w:val="20"/>
          <w:szCs w:val="20"/>
        </w:rPr>
        <w:t xml:space="preserve"> We reproduce the RoBERTa-base fine-tuning experiment from the GaLore paper (Zhao et al., ICML 2024) on SST-2, using one 16 GB T4 GPU. GaLore cut peak GPU memory by 10.7% to 16.4% relative to AdamW and trained about 1.7 times slower. With the library-default scale α = 0.25 it trailed AdamW by 0.3 points at rank 128 (four seeds; not conclusive) and by 1.5 points at rank 4. Single-seed follow-up runs point to α as the main cause of the low-rank gap: with the paper's α, rank 4 reached 94.15%, level with AdamW, and rank 8 reached 94.50%, both at about 16% less memory.</w:t>
      </w:r>
    </w:p>
    <w:p>
      <w:pPr>
        <w:pStyle w:val="Heading1"/>
        <w:keepNext/>
        <w:spacing w:after="100" w:before="280"/>
      </w:pPr>
      <w:r>
        <w:rPr>
          <w:rFonts w:ascii="Calibri" w:cs="Calibri" w:eastAsia="Calibri" w:hAnsi="Calibri"/>
          <w:b/>
          <w:bCs/>
          <w:color w:val="1F3864"/>
          <w:sz w:val="28"/>
          <w:szCs w:val="28"/>
        </w:rPr>
        <w:t xml:space="preserve">1. Introduction and problem statement</w:t>
      </w:r>
    </w:p>
    <w:p>
      <w:pPr>
        <w:spacing w:after="120" w:before="0" w:line="276"/>
        <w:jc w:val="left"/>
      </w:pPr>
      <w:r>
        <w:rPr>
          <w:rFonts w:ascii="Calibri" w:cs="Calibri" w:eastAsia="Calibri" w:hAnsi="Calibri"/>
          <w:color w:val="1A1A1A"/>
          <w:sz w:val="20"/>
          <w:szCs w:val="20"/>
        </w:rPr>
        <w:t xml:space="preserve">Training large language models is limited by GPU memory as much as by compute. Adam-style optimisers keep two extra numbers for every parameter (a running mean and a running variance of the gradient), so in full-precision (32-bit) training the optimiser state takes twice as much memory as the weights. GaLore (Zhao et al., 2024) reduces that cost by projecting each weight gradient into a low-rank subspace, running Adam there, and mapping the update back to the full weights. Every parameter is still trained, which separates GaLore from LoRA.</w:t>
      </w:r>
    </w:p>
    <w:p>
      <w:pPr>
        <w:spacing w:after="120" w:before="0" w:line="276"/>
        <w:jc w:val="left"/>
      </w:pPr>
      <w:r>
        <w:rPr>
          <w:rFonts w:ascii="Calibri" w:cs="Calibri" w:eastAsia="Calibri" w:hAnsi="Calibri"/>
          <w:color w:val="1A1A1A"/>
          <w:sz w:val="20"/>
          <w:szCs w:val="20"/>
        </w:rPr>
        <w:t xml:space="preserve">The paper's headline experiments pre-train LLaMA models of up to 7B parameters, which is beyond our compute. Following the assignment guidance, we reproduce its fine-tuning experiment instead: RoBERTa-base on SST-2. We ask three questions. (1) Does GaLore get close to full AdamW fine-tuning and do better than LoRA? (2) How much peak GPU memory does it save, and what does it cost in training time? (3) Is its accuracy gap to AdamW larger than the variation between random seeds? The third question is our main additional experiment, and a follow-up tests whether GaLore's scale parameter explains our gap to the paper's numbers. We also deployed the trained models in a small web application.</w:t>
      </w:r>
    </w:p>
    <w:p>
      <w:pPr>
        <w:pStyle w:val="Heading1"/>
        <w:keepNext/>
        <w:spacing w:after="100" w:before="280"/>
      </w:pPr>
      <w:r>
        <w:rPr>
          <w:rFonts w:ascii="Calibri" w:cs="Calibri" w:eastAsia="Calibri" w:hAnsi="Calibri"/>
          <w:b/>
          <w:bCs/>
          <w:color w:val="1F3864"/>
          <w:sz w:val="28"/>
          <w:szCs w:val="28"/>
        </w:rPr>
        <w:t xml:space="preserve">2. Literature and background</w:t>
      </w:r>
    </w:p>
    <w:p>
      <w:pPr>
        <w:spacing w:after="120" w:before="0" w:line="276"/>
        <w:jc w:val="left"/>
      </w:pPr>
      <w:r>
        <w:rPr>
          <w:rFonts w:ascii="Calibri" w:cs="Calibri" w:eastAsia="Calibri" w:hAnsi="Calibri"/>
          <w:color w:val="1A1A1A"/>
          <w:sz w:val="20"/>
          <w:szCs w:val="20"/>
        </w:rPr>
        <w:t xml:space="preserve">Adam (Kingma and Ba, 2015) and AdamW (Loshchilov and Hutter, 2019) are the default optimisers for transformers, and their two per-parameter states are the main source of optimiser memory. Work on reducing that cost follows three routes. One quantises the states (8-bit optimisers; Dettmers et al., 2022). A second freezes the model and trains low-rank adapters: LoRA (Hu et al., 2022) adds a trainable low-rank update to each frozen weight matrix, and ReLoRA (Lialin et al., 2024) merges the adapters into the weights repeatedly to approximate higher-rank training. GaLore takes a third route: it keeps full-rank weights and compresses the gradient. LoRA and ReLoRA restrict the weight update to a low-rank form, and GaLore does not.</w:t>
      </w:r>
    </w:p>
    <w:p>
      <w:pPr>
        <w:spacing w:after="120" w:before="0" w:line="276"/>
        <w:jc w:val="left"/>
      </w:pPr>
      <w:r>
        <w:rPr>
          <w:rFonts w:ascii="Calibri" w:cs="Calibri" w:eastAsia="Calibri" w:hAnsi="Calibri"/>
          <w:color w:val="1A1A1A"/>
          <w:sz w:val="20"/>
          <w:szCs w:val="20"/>
        </w:rPr>
        <w:t xml:space="preserve">Later work builds on the idea. Q-GaLore (Zhang et al., 2024) stores weights in INT8 and projections in INT4 and skips SVD updates for layers whose subspace has stabilised, and Fira (Chen et al., 2024) uses norm-based scaling to approach full-rank training with low-rank optimiser memory. Our experiments use RoBERTa-base (Liu et al., 2019), a 125M-parameter encoder, on the binary Stanford Sentiment Treebank task (SST-2; Socher et al., 2013) from the GLUE benchmark (Wang et al., 2019).</w:t>
      </w:r>
    </w:p>
    <w:p>
      <w:pPr>
        <w:pStyle w:val="Heading1"/>
        <w:keepNext/>
        <w:spacing w:after="100" w:before="280"/>
      </w:pPr>
      <w:r>
        <w:rPr>
          <w:rFonts w:ascii="Calibri" w:cs="Calibri" w:eastAsia="Calibri" w:hAnsi="Calibri"/>
          <w:b/>
          <w:bCs/>
          <w:color w:val="1F3864"/>
          <w:sz w:val="28"/>
          <w:szCs w:val="28"/>
        </w:rPr>
        <w:t xml:space="preserve">3. Paper methodology</w:t>
      </w:r>
    </w:p>
    <w:p>
      <w:pPr>
        <w:spacing w:after="120" w:before="0" w:line="276"/>
        <w:jc w:val="left"/>
      </w:pPr>
      <w:r>
        <w:rPr>
          <w:rFonts w:ascii="Calibri" w:cs="Calibri" w:eastAsia="Calibri" w:hAnsi="Calibri"/>
          <w:color w:val="1A1A1A"/>
          <w:sz w:val="20"/>
          <w:szCs w:val="20"/>
        </w:rPr>
        <w:t xml:space="preserve">GaLore works on one weight matrix W (m by n, with m ≤ n) at a time. Every T steps (T = 200 in the paper) it takes a singular value decomposition (SVD) of the gradient G and keeps the top r left singular vectors as a projection matrix P (m by r); between those steps P is reused. The gradient is projected to R = P</w:t>
      </w:r>
      <w:r>
        <w:rPr>
          <w:rFonts w:ascii="Calibri" w:cs="Calibri" w:eastAsia="Calibri" w:hAnsi="Calibri"/>
          <w:color w:val="1A1A1A"/>
          <w:sz w:val="20"/>
          <w:szCs w:val="20"/>
          <w:vertAlign w:val="superscript"/>
        </w:rPr>
        <w:t xml:space="preserve">T</w:t>
      </w:r>
      <w:r>
        <w:rPr>
          <w:rFonts w:ascii="Calibri" w:cs="Calibri" w:eastAsia="Calibri" w:hAnsi="Calibri"/>
          <w:color w:val="1A1A1A"/>
          <w:sz w:val="20"/>
          <w:szCs w:val="20"/>
        </w:rPr>
        <w:t xml:space="preserve">G (r by n), Adam keeps its two states in that small space, and the resulting step N is projected back, multiplied by a scale α and applied to the full weights: W ← W − η α P N.</w:t>
      </w:r>
    </w:p>
    <w:p>
      <w:pPr>
        <w:spacing w:after="120" w:before="0" w:line="276"/>
        <w:jc w:val="left"/>
      </w:pPr>
      <w:r>
        <w:rPr>
          <w:rFonts w:ascii="Calibri" w:cs="Calibri" w:eastAsia="Calibri" w:hAnsi="Calibri"/>
          <w:color w:val="1A1A1A"/>
          <w:sz w:val="20"/>
          <w:szCs w:val="20"/>
        </w:rPr>
        <w:t xml:space="preserve">Three choices matter. Only the gradient is compressed, so W stays full-rank and all parameters are trained, whereas LoRA freezes W and trains an adapter. Recomputing P every T steps moves the optimiser through a sequence of subspaces. And α is a fixed constant that does not depend on r, unlike LoRA's α/r scaling, so changing the rank does not rescale the update; the paper describes α as a fractional learning rate (Appendix C.1), which matters for Section 7.2.</w:t>
      </w:r>
    </w:p>
    <w:p>
      <w:pPr>
        <w:spacing w:after="120" w:before="0" w:line="276"/>
        <w:jc w:val="left"/>
      </w:pPr>
      <w:r>
        <w:rPr>
          <w:rFonts w:ascii="Calibri" w:cs="Calibri" w:eastAsia="Calibri" w:hAnsi="Calibri"/>
          <w:color w:val="1A1A1A"/>
          <w:sz w:val="20"/>
          <w:szCs w:val="20"/>
        </w:rPr>
        <w:t xml:space="preserve">For an m by n matrix, the paper's Table 1 gives optimiser memory of mr + 2nr for GaLore against 2mn for Adam, and total memory of mn + mr + 2nr for GaLore against mn + 3mr + 3nr for LoRA (Section 4.2). The abstract reports up to 65.5% lower optimiser-state memory and 7B pre-training on a 24 GB consumer GPU. The result most relevant to us is Section 5.4 (Table 4): RoBERTa-base on GLUE for 30 epochs, with SST-2 scores of 94.57 for full fine-tuning, 94.04 and 94.38 for GaLore at ranks 4 and 8, and 92.89 and 93.46 for LoRA (hyperparameters in Appendix D.1, Table 7). On cost, Section 4.1 calls the SVD overhead negligible (below 10%) compared with memory offloading, and Section 5.5 reports a 17% throughput overhead for 8-bit GaLore relative to 8-bit Adam.</w:t>
      </w:r>
    </w:p>
    <w:p>
      <w:pPr>
        <w:pStyle w:val="Heading1"/>
        <w:keepNext/>
        <w:spacing w:after="100" w:before="280"/>
      </w:pPr>
      <w:r>
        <w:rPr>
          <w:rFonts w:ascii="Calibri" w:cs="Calibri" w:eastAsia="Calibri" w:hAnsi="Calibri"/>
          <w:b/>
          <w:bCs/>
          <w:color w:val="1F3864"/>
          <w:sz w:val="28"/>
          <w:szCs w:val="28"/>
        </w:rPr>
        <w:t xml:space="preserve">4. Implementation details</w:t>
      </w:r>
    </w:p>
    <w:p>
      <w:pPr>
        <w:pStyle w:val="Heading2"/>
        <w:keepNext/>
        <w:spacing w:after="80" w:before="160"/>
      </w:pPr>
      <w:r>
        <w:rPr>
          <w:rFonts w:ascii="Calibri" w:cs="Calibri" w:eastAsia="Calibri" w:hAnsi="Calibri"/>
          <w:b/>
          <w:bCs/>
          <w:color w:val="1F3864"/>
          <w:sz w:val="23"/>
          <w:szCs w:val="23"/>
        </w:rPr>
        <w:t xml:space="preserve">4.1 Setup</w:t>
      </w:r>
    </w:p>
    <w:p>
      <w:pPr>
        <w:spacing w:after="120" w:before="0" w:line="276"/>
        <w:jc w:val="left"/>
      </w:pPr>
      <w:r>
        <w:rPr>
          <w:rFonts w:ascii="Consolas" w:cs="Consolas" w:eastAsia="Consolas" w:hAnsi="Consolas"/>
          <w:color w:val="1A1A1A"/>
          <w:sz w:val="20"/>
          <w:szCs w:val="20"/>
        </w:rPr>
        <w:t xml:space="preserve">src/train.py</w:t>
      </w:r>
      <w:r>
        <w:rPr>
          <w:rFonts w:ascii="Calibri" w:cs="Calibri" w:eastAsia="Calibri" w:hAnsi="Calibri"/>
          <w:color w:val="1A1A1A"/>
          <w:sz w:val="20"/>
          <w:szCs w:val="20"/>
        </w:rPr>
        <w:t xml:space="preserve"> is the single training entry point (</w:t>
      </w:r>
      <w:r>
        <w:rPr>
          <w:rFonts w:ascii="Consolas" w:cs="Consolas" w:eastAsia="Consolas" w:hAnsi="Consolas"/>
          <w:color w:val="1A1A1A"/>
          <w:sz w:val="20"/>
          <w:szCs w:val="20"/>
        </w:rPr>
        <w:t xml:space="preserve">--method adamw|lora|galore</w:t>
      </w:r>
      <w:r>
        <w:rPr>
          <w:rFonts w:ascii="Calibri" w:cs="Calibri" w:eastAsia="Calibri" w:hAnsi="Calibri"/>
          <w:color w:val="1A1A1A"/>
          <w:sz w:val="20"/>
          <w:szCs w:val="20"/>
        </w:rPr>
        <w:t xml:space="preserve">, </w:t>
      </w:r>
      <w:r>
        <w:rPr>
          <w:rFonts w:ascii="Consolas" w:cs="Consolas" w:eastAsia="Consolas" w:hAnsi="Consolas"/>
          <w:color w:val="1A1A1A"/>
          <w:sz w:val="20"/>
          <w:szCs w:val="20"/>
        </w:rPr>
        <w:t xml:space="preserve">--rank</w:t>
      </w:r>
      <w:r>
        <w:rPr>
          <w:rFonts w:ascii="Calibri" w:cs="Calibri" w:eastAsia="Calibri" w:hAnsi="Calibri"/>
          <w:color w:val="1A1A1A"/>
          <w:sz w:val="20"/>
          <w:szCs w:val="20"/>
        </w:rPr>
        <w:t xml:space="preserve">, </w:t>
      </w:r>
      <w:r>
        <w:rPr>
          <w:rFonts w:ascii="Consolas" w:cs="Consolas" w:eastAsia="Consolas" w:hAnsi="Consolas"/>
          <w:color w:val="1A1A1A"/>
          <w:sz w:val="20"/>
          <w:szCs w:val="20"/>
        </w:rPr>
        <w:t xml:space="preserve">--seed</w:t>
      </w:r>
      <w:r>
        <w:rPr>
          <w:rFonts w:ascii="Calibri" w:cs="Calibri" w:eastAsia="Calibri" w:hAnsi="Calibri"/>
          <w:color w:val="1A1A1A"/>
          <w:sz w:val="20"/>
          <w:szCs w:val="20"/>
        </w:rPr>
        <w:t xml:space="preserve">, </w:t>
      </w:r>
      <w:r>
        <w:rPr>
          <w:rFonts w:ascii="Consolas" w:cs="Consolas" w:eastAsia="Consolas" w:hAnsi="Consolas"/>
          <w:color w:val="1A1A1A"/>
          <w:sz w:val="20"/>
          <w:szCs w:val="20"/>
        </w:rPr>
        <w:t xml:space="preserve">--scale</w:t>
      </w:r>
      <w:r>
        <w:rPr>
          <w:rFonts w:ascii="Calibri" w:cs="Calibri" w:eastAsia="Calibri" w:hAnsi="Calibri"/>
          <w:color w:val="1A1A1A"/>
          <w:sz w:val="20"/>
          <w:szCs w:val="20"/>
        </w:rPr>
        <w:t xml:space="preserve">, </w:t>
      </w:r>
      <w:r>
        <w:rPr>
          <w:rFonts w:ascii="Consolas" w:cs="Consolas" w:eastAsia="Consolas" w:hAnsi="Consolas"/>
          <w:color w:val="1A1A1A"/>
          <w:sz w:val="20"/>
          <w:szCs w:val="20"/>
        </w:rPr>
        <w:t xml:space="preserve">--save_model</w:t>
      </w:r>
      <w:r>
        <w:rPr>
          <w:rFonts w:ascii="Calibri" w:cs="Calibri" w:eastAsia="Calibri" w:hAnsi="Calibri"/>
          <w:color w:val="1A1A1A"/>
          <w:sz w:val="20"/>
          <w:szCs w:val="20"/>
        </w:rPr>
        <w:t xml:space="preserve">), built on the Hugging Face </w:t>
      </w:r>
      <w:r>
        <w:rPr>
          <w:rFonts w:ascii="Consolas" w:cs="Consolas" w:eastAsia="Consolas" w:hAnsi="Consolas"/>
          <w:color w:val="1A1A1A"/>
          <w:sz w:val="20"/>
          <w:szCs w:val="20"/>
        </w:rPr>
        <w:t xml:space="preserve">Trainer</w:t>
      </w:r>
      <w:r>
        <w:rPr>
          <w:rFonts w:ascii="Calibri" w:cs="Calibri" w:eastAsia="Calibri" w:hAnsi="Calibri"/>
          <w:color w:val="1A1A1A"/>
          <w:sz w:val="20"/>
          <w:szCs w:val="20"/>
        </w:rPr>
        <w:t xml:space="preserve"> (Wolf et al., 2020). GaLore comes from </w:t>
      </w:r>
      <w:r>
        <w:rPr>
          <w:rFonts w:ascii="Consolas" w:cs="Consolas" w:eastAsia="Consolas" w:hAnsi="Consolas"/>
          <w:color w:val="1A1A1A"/>
          <w:sz w:val="20"/>
          <w:szCs w:val="20"/>
        </w:rPr>
        <w:t xml:space="preserve">galore-torch</w:t>
      </w:r>
      <w:r>
        <w:rPr>
          <w:rFonts w:ascii="Calibri" w:cs="Calibri" w:eastAsia="Calibri" w:hAnsi="Calibri"/>
          <w:color w:val="1A1A1A"/>
          <w:sz w:val="20"/>
          <w:szCs w:val="20"/>
        </w:rPr>
        <w:t xml:space="preserve"> 1.0 through the Trainer's </w:t>
      </w:r>
      <w:r>
        <w:rPr>
          <w:rFonts w:ascii="Consolas" w:cs="Consolas" w:eastAsia="Consolas" w:hAnsi="Consolas"/>
          <w:color w:val="1A1A1A"/>
          <w:sz w:val="20"/>
          <w:szCs w:val="20"/>
        </w:rPr>
        <w:t xml:space="preserve">galore_adamw</w:t>
      </w:r>
      <w:r>
        <w:rPr>
          <w:rFonts w:ascii="Calibri" w:cs="Calibri" w:eastAsia="Calibri" w:hAnsi="Calibri"/>
          <w:color w:val="1A1A1A"/>
          <w:sz w:val="20"/>
          <w:szCs w:val="20"/>
        </w:rPr>
        <w:t xml:space="preserve"> optimiser, and LoRA from Hugging Face </w:t>
      </w:r>
      <w:r>
        <w:rPr>
          <w:rFonts w:ascii="Consolas" w:cs="Consolas" w:eastAsia="Consolas" w:hAnsi="Consolas"/>
          <w:color w:val="1A1A1A"/>
          <w:sz w:val="20"/>
          <w:szCs w:val="20"/>
        </w:rPr>
        <w:t xml:space="preserve">peft</w:t>
      </w:r>
      <w:r>
        <w:rPr>
          <w:rFonts w:ascii="Calibri" w:cs="Calibri" w:eastAsia="Calibri" w:hAnsi="Calibri"/>
          <w:color w:val="1A1A1A"/>
          <w:sz w:val="20"/>
          <w:szCs w:val="20"/>
        </w:rPr>
        <w:t xml:space="preserve">. All runs used a Google Colab NVIDIA Tesla T4 (16 GB) in 32-bit precision, with Trainer defaults elsewhere (linear learning-rate decay, no warmup, no weight decay). The model is </w:t>
      </w:r>
      <w:r>
        <w:rPr>
          <w:rFonts w:ascii="Consolas" w:cs="Consolas" w:eastAsia="Consolas" w:hAnsi="Consolas"/>
          <w:color w:val="1A1A1A"/>
          <w:sz w:val="20"/>
          <w:szCs w:val="20"/>
        </w:rPr>
        <w:t xml:space="preserve">roberta-base</w:t>
      </w:r>
      <w:r>
        <w:rPr>
          <w:rFonts w:ascii="Calibri" w:cs="Calibri" w:eastAsia="Calibri" w:hAnsi="Calibri"/>
          <w:color w:val="1A1A1A"/>
          <w:sz w:val="20"/>
          <w:szCs w:val="20"/>
        </w:rPr>
        <w:t xml:space="preserve"> with a new two-label classification head. GaLore is applied to the six weight matrices in each of the 12 encoder layers (query, key, value, attention output and the two feed-forward projections): 72 matrices holding about 85M of the 125M parameters. Embeddings, biases, LayerNorm and the head use ordinary AdamW. LoRA uses rank 8, α = 16 and dropout 0.1 on the query and value matrices.</w:t>
      </w:r>
    </w:p>
    <w:p>
      <w:pPr>
        <w:keepNext/>
        <w:spacing w:after="60" w:before="100"/>
      </w:pPr>
      <w:r>
        <w:rPr>
          <w:rFonts w:ascii="Calibri" w:cs="Calibri" w:eastAsia="Calibri" w:hAnsi="Calibri"/>
          <w:b/>
          <w:bCs/>
          <w:color w:val="595959"/>
          <w:sz w:val="18"/>
          <w:szCs w:val="18"/>
        </w:rPr>
        <w:t xml:space="preserve">Table 1. </w:t>
      </w:r>
      <w:r>
        <w:rPr>
          <w:rFonts w:ascii="Calibri" w:cs="Calibri" w:eastAsia="Calibri" w:hAnsi="Calibri"/>
          <w:color w:val="595959"/>
          <w:sz w:val="18"/>
          <w:szCs w:val="18"/>
        </w:rPr>
        <w:t xml:space="preserve">Training configuration compared with the paper's SST-2 recipe (Appendix D.1, Table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Setting</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Ours</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Paper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Epochs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30</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Batch size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16</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16</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Learning rate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2e-5 for every method (1e-5 in one run, Section 7.2)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1e-5 (GaLore rank 4), 2e-5 (rank 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scale α</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0.25 (library default); 2 or 4 in Section 7.2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4 (rank 4), 2 (rank 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Subspace update gap 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200 in pre-training; not stated for fine-tuning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Max sequence length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128</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512</w:t>
            </w:r>
          </w:p>
        </w:tc>
      </w:tr>
    </w:tbl>
    <w:p>
      <w:pPr>
        <w:spacing w:after="80"/>
      </w:pPr>
    </w:p>
    <w:p>
      <w:pPr>
        <w:spacing w:after="120" w:before="0" w:line="276"/>
        <w:jc w:val="left"/>
      </w:pPr>
      <w:r>
        <w:rPr>
          <w:rFonts w:ascii="Calibri" w:cs="Calibri" w:eastAsia="Calibri" w:hAnsi="Calibri"/>
          <w:color w:val="1A1A1A"/>
          <w:sz w:val="20"/>
          <w:szCs w:val="20"/>
        </w:rPr>
        <w:t xml:space="preserve">We trained for 3 epochs because each GaLore run takes about 40 minutes on the T4, and used one learning rate for all methods to keep the comparison controlled. We first kept GaLore's library default α = 0.25, which is the paper's pre-training value, rather than the 2 to 4 of its fine-tuning recipe. Because this turned out to matter, Section 7.2 repeats rank 4 and rank 8 with the paper's α. Elsewhere, GaLore results use α = 0.25.</w:t>
      </w:r>
    </w:p>
    <w:p>
      <w:pPr>
        <w:pStyle w:val="Heading2"/>
        <w:keepNext/>
        <w:spacing w:after="80" w:before="160"/>
      </w:pPr>
      <w:r>
        <w:rPr>
          <w:rFonts w:ascii="Calibri" w:cs="Calibri" w:eastAsia="Calibri" w:hAnsi="Calibri"/>
          <w:b/>
          <w:bCs/>
          <w:color w:val="1F3864"/>
          <w:sz w:val="23"/>
          <w:szCs w:val="23"/>
        </w:rPr>
        <w:t xml:space="preserve">4.2 Measurement</w:t>
      </w:r>
    </w:p>
    <w:p>
      <w:pPr>
        <w:spacing w:after="120" w:before="0" w:line="276"/>
        <w:jc w:val="left"/>
      </w:pPr>
      <w:r>
        <w:rPr>
          <w:rFonts w:ascii="Calibri" w:cs="Calibri" w:eastAsia="Calibri" w:hAnsi="Calibri"/>
          <w:color w:val="1A1A1A"/>
          <w:sz w:val="20"/>
          <w:szCs w:val="20"/>
        </w:rPr>
        <w:t xml:space="preserve">Accuracy is measured on the SST-2 validation set after the final epoch, with no best-checkpoint selection. Peak memory is </w:t>
      </w:r>
      <w:r>
        <w:rPr>
          <w:rFonts w:ascii="Consolas" w:cs="Consolas" w:eastAsia="Consolas" w:hAnsi="Consolas"/>
          <w:color w:val="1A1A1A"/>
          <w:sz w:val="20"/>
          <w:szCs w:val="20"/>
        </w:rPr>
        <w:t xml:space="preserve">torch.cuda.max_memory_allocated()</w:t>
      </w:r>
      <w:r>
        <w:rPr>
          <w:rFonts w:ascii="Calibri" w:cs="Calibri" w:eastAsia="Calibri" w:hAnsi="Calibri"/>
          <w:color w:val="1A1A1A"/>
          <w:sz w:val="20"/>
          <w:szCs w:val="20"/>
        </w:rPr>
        <w:t xml:space="preserve"> after resetting the counter before training, so it includes weights, gradients, activations and optimiser state (1 GB here is 2</w:t>
      </w:r>
      <w:r>
        <w:rPr>
          <w:rFonts w:ascii="Calibri" w:cs="Calibri" w:eastAsia="Calibri" w:hAnsi="Calibri"/>
          <w:color w:val="1A1A1A"/>
          <w:sz w:val="20"/>
          <w:szCs w:val="20"/>
          <w:vertAlign w:val="superscript"/>
        </w:rPr>
        <w:t xml:space="preserve">30</w:t>
      </w:r>
      <w:r>
        <w:rPr>
          <w:rFonts w:ascii="Calibri" w:cs="Calibri" w:eastAsia="Calibri" w:hAnsi="Calibri"/>
          <w:color w:val="1A1A1A"/>
          <w:sz w:val="20"/>
          <w:szCs w:val="20"/>
        </w:rPr>
        <w:t xml:space="preserve"> bytes). Training time is the wall-clock time of </w:t>
      </w:r>
      <w:r>
        <w:rPr>
          <w:rFonts w:ascii="Consolas" w:cs="Consolas" w:eastAsia="Consolas" w:hAnsi="Consolas"/>
          <w:color w:val="1A1A1A"/>
          <w:sz w:val="20"/>
          <w:szCs w:val="20"/>
        </w:rPr>
        <w:t xml:space="preserve">trainer.train()</w:t>
      </w:r>
      <w:r>
        <w:rPr>
          <w:rFonts w:ascii="Calibri" w:cs="Calibri" w:eastAsia="Calibri" w:hAnsi="Calibri"/>
          <w:color w:val="1A1A1A"/>
          <w:sz w:val="20"/>
          <w:szCs w:val="20"/>
        </w:rPr>
        <w:t xml:space="preserve">, which includes the three per-epoch evaluations.</w:t>
      </w:r>
    </w:p>
    <w:p>
      <w:pPr>
        <w:pStyle w:val="Heading2"/>
        <w:keepNext/>
        <w:spacing w:after="80" w:before="160"/>
      </w:pPr>
      <w:r>
        <w:rPr>
          <w:rFonts w:ascii="Calibri" w:cs="Calibri" w:eastAsia="Calibri" w:hAnsi="Calibri"/>
          <w:b/>
          <w:bCs/>
          <w:color w:val="1F3864"/>
          <w:sz w:val="23"/>
          <w:szCs w:val="23"/>
        </w:rPr>
        <w:t xml:space="preserve">4.3 Deployment</w:t>
      </w:r>
    </w:p>
    <w:p>
      <w:pPr>
        <w:spacing w:after="120" w:before="0" w:line="276"/>
        <w:jc w:val="left"/>
      </w:pPr>
      <w:r>
        <w:rPr>
          <w:rFonts w:ascii="Calibri" w:cs="Calibri" w:eastAsia="Calibri" w:hAnsi="Calibri"/>
          <w:color w:val="1A1A1A"/>
          <w:sz w:val="20"/>
          <w:szCs w:val="20"/>
        </w:rPr>
        <w:t xml:space="preserve">We deployed the seed 42 AdamW and GaLore (rank 128) models, saved with </w:t>
      </w:r>
      <w:r>
        <w:rPr>
          <w:rFonts w:ascii="Consolas" w:cs="Consolas" w:eastAsia="Consolas" w:hAnsi="Consolas"/>
          <w:color w:val="1A1A1A"/>
          <w:sz w:val="20"/>
          <w:szCs w:val="20"/>
        </w:rPr>
        <w:t xml:space="preserve">--save_model</w:t>
      </w:r>
      <w:r>
        <w:rPr>
          <w:rFonts w:ascii="Calibri" w:cs="Calibri" w:eastAsia="Calibri" w:hAnsi="Calibri"/>
          <w:color w:val="1A1A1A"/>
          <w:sz w:val="20"/>
          <w:szCs w:val="20"/>
        </w:rPr>
        <w:t xml:space="preserve">, in a Streamlit app (</w:t>
      </w:r>
      <w:r>
        <w:rPr>
          <w:rFonts w:ascii="Consolas" w:cs="Consolas" w:eastAsia="Consolas" w:hAnsi="Consolas"/>
          <w:color w:val="1A1A1A"/>
          <w:sz w:val="20"/>
          <w:szCs w:val="20"/>
        </w:rPr>
        <w:t xml:space="preserve">app/app.py</w:t>
      </w:r>
      <w:r>
        <w:rPr>
          <w:rFonts w:ascii="Calibri" w:cs="Calibri" w:eastAsia="Calibri" w:hAnsi="Calibri"/>
          <w:color w:val="1A1A1A"/>
          <w:sz w:val="20"/>
          <w:szCs w:val="20"/>
        </w:rPr>
        <w:t xml:space="preserve">). The user types a sentence and the app shows each model's predicted sentiment and softmax confidence side by side, running on CPU. The weights (about 500 MB each) are kept out of the repository. The experiments, app and data are on the branch </w:t>
      </w:r>
      <w:r>
        <w:rPr>
          <w:rFonts w:ascii="Consolas" w:cs="Consolas" w:eastAsia="Consolas" w:hAnsi="Consolas"/>
          <w:color w:val="1A1A1A"/>
          <w:sz w:val="20"/>
          <w:szCs w:val="20"/>
        </w:rPr>
        <w:t xml:space="preserve">milestone-3-experiments</w:t>
      </w:r>
      <w:r>
        <w:rPr>
          <w:rFonts w:ascii="Calibri" w:cs="Calibri" w:eastAsia="Calibri" w:hAnsi="Calibri"/>
          <w:color w:val="1A1A1A"/>
          <w:sz w:val="20"/>
          <w:szCs w:val="20"/>
        </w:rPr>
        <w:t xml:space="preserve">, and a screen recording of the app is submitted with this report.</w:t>
      </w:r>
    </w:p>
    <w:p>
      <w:pPr>
        <w:pStyle w:val="Heading1"/>
        <w:keepNext/>
        <w:spacing w:after="100" w:before="280"/>
      </w:pPr>
      <w:r>
        <w:rPr>
          <w:rFonts w:ascii="Calibri" w:cs="Calibri" w:eastAsia="Calibri" w:hAnsi="Calibri"/>
          <w:b/>
          <w:bCs/>
          <w:color w:val="1F3864"/>
          <w:sz w:val="28"/>
          <w:szCs w:val="28"/>
        </w:rPr>
        <w:t xml:space="preserve">5. Dataset and preprocessing</w:t>
      </w:r>
    </w:p>
    <w:p>
      <w:pPr>
        <w:spacing w:after="120" w:before="0" w:line="276"/>
        <w:jc w:val="left"/>
      </w:pPr>
      <w:r>
        <w:rPr>
          <w:rFonts w:ascii="Calibri" w:cs="Calibri" w:eastAsia="Calibri" w:hAnsi="Calibri"/>
          <w:color w:val="1A1A1A"/>
          <w:sz w:val="20"/>
          <w:szCs w:val="20"/>
        </w:rPr>
        <w:t xml:space="preserve">SST-2 is the binary sentence-level sentiment task in GLUE, built from movie-review sentences, and we load it from </w:t>
      </w:r>
      <w:r>
        <w:rPr>
          <w:rFonts w:ascii="Consolas" w:cs="Consolas" w:eastAsia="Consolas" w:hAnsi="Consolas"/>
          <w:color w:val="1A1A1A"/>
          <w:sz w:val="20"/>
          <w:szCs w:val="20"/>
        </w:rPr>
        <w:t xml:space="preserve">nyu-mll/glue</w:t>
      </w:r>
      <w:r>
        <w:rPr>
          <w:rFonts w:ascii="Calibri" w:cs="Calibri" w:eastAsia="Calibri" w:hAnsi="Calibri"/>
          <w:color w:val="1A1A1A"/>
          <w:sz w:val="20"/>
          <w:szCs w:val="20"/>
        </w:rPr>
        <w:t xml:space="preserve"> with the Hugging Face </w:t>
      </w:r>
      <w:r>
        <w:rPr>
          <w:rFonts w:ascii="Consolas" w:cs="Consolas" w:eastAsia="Consolas" w:hAnsi="Consolas"/>
          <w:color w:val="1A1A1A"/>
          <w:sz w:val="20"/>
          <w:szCs w:val="20"/>
        </w:rPr>
        <w:t xml:space="preserve">datasets</w:t>
      </w:r>
      <w:r>
        <w:rPr>
          <w:rFonts w:ascii="Calibri" w:cs="Calibri" w:eastAsia="Calibri" w:hAnsi="Calibri"/>
          <w:color w:val="1A1A1A"/>
          <w:sz w:val="20"/>
          <w:szCs w:val="20"/>
        </w:rPr>
        <w:t xml:space="preserve"> library. It has 67,349 training and 872 validation sentences. The 1,821 test sentences have hidden labels, so, as is usual for GLUE, we report validation accuracy. Labels are 0 (negative) and 1 (positive). Sentences are tokenised with the </w:t>
      </w:r>
      <w:r>
        <w:rPr>
          <w:rFonts w:ascii="Consolas" w:cs="Consolas" w:eastAsia="Consolas" w:hAnsi="Consolas"/>
          <w:color w:val="1A1A1A"/>
          <w:sz w:val="20"/>
          <w:szCs w:val="20"/>
        </w:rPr>
        <w:t xml:space="preserve">roberta-base</w:t>
      </w:r>
      <w:r>
        <w:rPr>
          <w:rFonts w:ascii="Calibri" w:cs="Calibri" w:eastAsia="Calibri" w:hAnsi="Calibri"/>
          <w:color w:val="1A1A1A"/>
          <w:sz w:val="20"/>
          <w:szCs w:val="20"/>
        </w:rPr>
        <w:t xml:space="preserve"> tokenizer and truncated to 128 tokens, and batches are padded dynamically with </w:t>
      </w:r>
      <w:r>
        <w:rPr>
          <w:rFonts w:ascii="Consolas" w:cs="Consolas" w:eastAsia="Consolas" w:hAnsi="Consolas"/>
          <w:color w:val="1A1A1A"/>
          <w:sz w:val="20"/>
          <w:szCs w:val="20"/>
        </w:rPr>
        <w:t xml:space="preserve">DataCollatorWithPadding</w:t>
      </w:r>
      <w:r>
        <w:rPr>
          <w:rFonts w:ascii="Calibri" w:cs="Calibri" w:eastAsia="Calibri" w:hAnsi="Calibri"/>
          <w:color w:val="1A1A1A"/>
          <w:sz w:val="20"/>
          <w:szCs w:val="20"/>
        </w:rPr>
        <w:t xml:space="preserve">. We apply no other cleaning or augmentation. Three epochs at batch size 16 is 12,630 optimisation steps.</w:t>
      </w:r>
    </w:p>
    <w:p>
      <w:pPr>
        <w:spacing w:after="120" w:before="0" w:line="276"/>
        <w:jc w:val="left"/>
      </w:pPr>
      <w:r>
        <w:rPr>
          <w:rFonts w:ascii="Calibri" w:cs="Calibri" w:eastAsia="Calibri" w:hAnsi="Calibri"/>
          <w:color w:val="1A1A1A"/>
          <w:sz w:val="20"/>
          <w:szCs w:val="20"/>
        </w:rPr>
        <w:t xml:space="preserve">The validation set is also our reporting set, so we did not tune hyperparameters per method and we report the final epoch. One validation sentence is worth 0.11 points, so picking the best of several checkpoints could inflate scores by more than the differences we study.</w:t>
      </w:r>
    </w:p>
    <w:p>
      <w:pPr>
        <w:pStyle w:val="Heading1"/>
        <w:keepNext/>
        <w:spacing w:after="100" w:before="280"/>
      </w:pPr>
      <w:r>
        <w:rPr>
          <w:rFonts w:ascii="Calibri" w:cs="Calibri" w:eastAsia="Calibri" w:hAnsi="Calibri"/>
          <w:b/>
          <w:bCs/>
          <w:color w:val="1F3864"/>
          <w:sz w:val="28"/>
          <w:szCs w:val="28"/>
        </w:rPr>
        <w:t xml:space="preserve">6. Reproduction results</w:t>
      </w:r>
    </w:p>
    <w:p>
      <w:pPr>
        <w:spacing w:after="120" w:before="0" w:line="276"/>
        <w:jc w:val="left"/>
      </w:pPr>
      <w:r>
        <w:rPr>
          <w:rFonts w:ascii="Calibri" w:cs="Calibri" w:eastAsia="Calibri" w:hAnsi="Calibri"/>
          <w:color w:val="1A1A1A"/>
          <w:sz w:val="20"/>
          <w:szCs w:val="20"/>
        </w:rPr>
        <w:t xml:space="preserve">Table 2 gives the six configurations from our first study (seed 42; every GaLore run here uses α = 0.25). Figure 1 plots accuracy against memory and also shows the follow-up runs of Section 7.2 as hollow markers.</w:t>
      </w:r>
    </w:p>
    <w:p>
      <w:pPr>
        <w:keepNext/>
        <w:spacing w:after="60" w:before="100"/>
      </w:pPr>
      <w:r>
        <w:rPr>
          <w:rFonts w:ascii="Calibri" w:cs="Calibri" w:eastAsia="Calibri" w:hAnsi="Calibri"/>
          <w:b/>
          <w:bCs/>
          <w:color w:val="595959"/>
          <w:sz w:val="18"/>
          <w:szCs w:val="18"/>
        </w:rPr>
        <w:t xml:space="preserve">Table 2. </w:t>
      </w:r>
      <w:r>
        <w:rPr>
          <w:rFonts w:ascii="Calibri" w:cs="Calibri" w:eastAsia="Calibri" w:hAnsi="Calibri"/>
          <w:color w:val="595959"/>
          <w:sz w:val="18"/>
          <w:szCs w:val="18"/>
        </w:rPr>
        <w:t xml:space="preserve">SST-2 results, seed 42, 3 epochs. Memory is peak GPU memory; the percentage is relative to AdamW.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650"/>
        <w:gridCol w:w="1550"/>
        <w:gridCol w:w="1450"/>
        <w:gridCol w:w="1776"/>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Method</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Rank</w:t>
            </w:r>
          </w:p>
        </w:tc>
        <w:tc>
          <w:tcPr>
            <w:tcW w:type="dxa" w:w="16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Peak memory (GB)</w:t>
            </w:r>
          </w:p>
        </w:tc>
        <w:tc>
          <w:tcPr>
            <w:tcW w:type="dxa" w:w="15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Change vs AdamW</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Accuracy (%)</w:t>
            </w:r>
          </w:p>
        </w:tc>
        <w:tc>
          <w:tcPr>
            <w:tcW w:type="dxa" w:w="17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Training time (s)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AdamW (full)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n/a</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2.062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baseline</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1478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8</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1.285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−37.7%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91.28</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983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−16.4%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2363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16</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1.734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−15.9%</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92.89</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2370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64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1.774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−14.0%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93.58</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2409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128</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1.841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−10.7%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93.92</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2494</w:t>
            </w:r>
          </w:p>
        </w:tc>
      </w:tr>
    </w:tbl>
    <w:p>
      <w:pPr>
        <w:spacing w:after="100"/>
      </w:pPr>
    </w:p>
    <w:p>
      <w:pPr>
        <w:keepNext/>
        <w:spacing w:after="40" w:before="60"/>
        <w:jc w:val="center"/>
      </w:pPr>
      <w:r>
        <w:drawing>
          <wp:inline distT="0" distB="0" distL="0" distR="0">
            <wp:extent cx="4476750" cy="2343150"/>
            <wp:effectExtent t="0" r="0" b="0" l="0"/>
            <wp:docPr id="1" name="Accuracy versus memory" descr="Scatter plot of SST-2 accuracy against peak GPU memory for AdamW, LoRA and GaLore at several ranks and scales." title="Accuracy versus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43150"/>
                    </a:xfrm>
                    <a:prstGeom prst="rect">
                      <a:avLst/>
                    </a:prstGeom>
                  </pic:spPr>
                </pic:pic>
              </a:graphicData>
            </a:graphic>
          </wp:inline>
        </w:drawing>
      </w:r>
    </w:p>
    <w:p>
      <w:pPr>
        <w:keepNext w:val="false"/>
        <w:spacing w:after="60" w:before="100"/>
      </w:pPr>
      <w:r>
        <w:rPr>
          <w:rFonts w:ascii="Calibri" w:cs="Calibri" w:eastAsia="Calibri" w:hAnsi="Calibri"/>
          <w:b/>
          <w:bCs/>
          <w:color w:val="595959"/>
          <w:sz w:val="18"/>
          <w:szCs w:val="18"/>
        </w:rPr>
        <w:t xml:space="preserve">Figure 1. </w:t>
      </w:r>
      <w:r>
        <w:rPr>
          <w:rFonts w:ascii="Calibri" w:cs="Calibri" w:eastAsia="Calibri" w:hAnsi="Calibri"/>
          <w:color w:val="595959"/>
          <w:sz w:val="18"/>
          <w:szCs w:val="18"/>
        </w:rPr>
        <w:t xml:space="preserve">Accuracy against peak memory (seed 42). Filled orange markers: GaLore with α = 0.25, where accuracy rises with rank. Hollow markers: GaLore with the paper's α (Section 7.2).</w:t>
      </w:r>
    </w:p>
    <w:p>
      <w:pPr>
        <w:spacing w:after="120" w:before="0" w:line="276"/>
        <w:jc w:val="left"/>
      </w:pPr>
      <w:r>
        <w:rPr>
          <w:rFonts w:ascii="Calibri" w:cs="Calibri" w:eastAsia="Calibri" w:hAnsi="Calibri"/>
          <w:color w:val="1A1A1A"/>
          <w:sz w:val="20"/>
          <w:szCs w:val="20"/>
        </w:rPr>
        <w:t xml:space="preserve">With α = 0.25, GaLore sits between LoRA and AdamW. LoRA uses the least memory (37.7% below AdamW) but is the least accurate (91.28%). GaLore saves 10.7% to 16.4% and reaches 93.92% at rank 128, 0.23 points below AdamW. Accuracy rises with rank at this α while peak memory grows by only 0.117 GB from rank 4 to rank 128. GaLore trains 60% to 69% slower than AdamW (2363 to 2494 s against 1478 s).</w:t>
      </w:r>
    </w:p>
    <w:p>
      <w:pPr>
        <w:keepNext/>
        <w:spacing w:after="60" w:before="100"/>
      </w:pPr>
      <w:r>
        <w:rPr>
          <w:rFonts w:ascii="Calibri" w:cs="Calibri" w:eastAsia="Calibri" w:hAnsi="Calibri"/>
          <w:b/>
          <w:bCs/>
          <w:color w:val="595959"/>
          <w:sz w:val="18"/>
          <w:szCs w:val="18"/>
        </w:rPr>
        <w:t xml:space="preserve">Table 3. </w:t>
      </w:r>
      <w:r>
        <w:rPr>
          <w:rFonts w:ascii="Calibri" w:cs="Calibri" w:eastAsia="Calibri" w:hAnsi="Calibri"/>
          <w:color w:val="595959"/>
          <w:sz w:val="18"/>
          <w:szCs w:val="18"/>
        </w:rPr>
        <w:t xml:space="preserve">Our SST-2 accuracy (%) next to the paper's (Table 4 of Zhao et al.). Rows marked α = 4 or α = 2 are the follow-up runs of Section 7.2 (both with learning rate 2e-5).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cantSplit/>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Method</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Paper (30 epochs)</w:t>
            </w:r>
          </w:p>
        </w:tc>
        <w:tc>
          <w:tcPr>
            <w:tcW w:type="dxa" w:w="2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Ours (3 epochs, seed 42)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Full fine-tuning / AdamW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94.57</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4, α = 0.25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reported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4, α =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94.04</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8, α = 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94.38</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128, α = 0.25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reported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93.92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LoRA, rank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92.89</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run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LoRA, rank 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93.46</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91.28</w:t>
            </w:r>
          </w:p>
        </w:tc>
      </w:tr>
    </w:tbl>
    <w:p>
      <w:pPr>
        <w:spacing w:after="100"/>
      </w:pPr>
    </w:p>
    <w:p>
      <w:pPr>
        <w:spacing w:after="120" w:before="0" w:line="276"/>
        <w:jc w:val="left"/>
      </w:pPr>
      <w:r>
        <w:rPr>
          <w:rFonts w:ascii="Calibri" w:cs="Calibri" w:eastAsia="Calibri" w:hAnsi="Calibri"/>
          <w:color w:val="1A1A1A"/>
          <w:sz w:val="20"/>
          <w:szCs w:val="20"/>
        </w:rPr>
        <w:t xml:space="preserve">The ordering matches the paper: full fine-tuning is best and GaLore beats LoRA even at half LoRA's rank. With the library-default α our low-rank scores fall below the paper's: GaLore rank 4 trails full fine-tuning by 1.49 points against 0.53 in the paper, and LoRA rank 8 by 2.87 against 1.11. Section 7.2 attributes most of the GaLore gap to α: with the paper's value, rank 4 reaches 94.15% and rank 8 reaches 94.50% after the same 3 epochs. The LoRA gap remains. We think our shared learning rate of 2e-5 is the likely cause, since LoRA is normally trained at larger rates, but we did not test it. Memory cannot be compared directly with the paper, whose Table 4 lists 747M for full fine-tuning and 253M to 264M for the low-rank methods, while we measure total peak GPU memory including activations, so we compare the trend.</w:t>
      </w:r>
    </w:p>
    <w:p>
      <w:pPr>
        <w:pStyle w:val="Heading1"/>
        <w:keepNext/>
        <w:spacing w:after="100" w:before="280"/>
      </w:pPr>
      <w:r>
        <w:rPr>
          <w:rFonts w:ascii="Calibri" w:cs="Calibri" w:eastAsia="Calibri" w:hAnsi="Calibri"/>
          <w:b/>
          <w:bCs/>
          <w:color w:val="1F3864"/>
          <w:sz w:val="28"/>
          <w:szCs w:val="28"/>
        </w:rPr>
        <w:t xml:space="preserve">7. Additional experiment</w:t>
      </w:r>
    </w:p>
    <w:p>
      <w:pPr>
        <w:spacing w:after="120" w:before="0" w:line="276"/>
        <w:jc w:val="left"/>
      </w:pPr>
      <w:r>
        <w:rPr>
          <w:rFonts w:ascii="Calibri" w:cs="Calibri" w:eastAsia="Calibri" w:hAnsi="Calibri"/>
          <w:color w:val="1A1A1A"/>
          <w:sz w:val="20"/>
          <w:szCs w:val="20"/>
        </w:rPr>
        <w:t xml:space="preserve">We ran two experiments. Section 7.1, seed robustness, is the main one. Section 7.2 is a follow-up on GaLore's scale α, prompted by the gap to the paper in Section 6.</w:t>
      </w:r>
    </w:p>
    <w:p>
      <w:pPr>
        <w:pStyle w:val="Heading2"/>
        <w:keepNext/>
        <w:spacing w:after="80" w:before="160"/>
      </w:pPr>
      <w:r>
        <w:rPr>
          <w:rFonts w:ascii="Calibri" w:cs="Calibri" w:eastAsia="Calibri" w:hAnsi="Calibri"/>
          <w:b/>
          <w:bCs/>
          <w:color w:val="1F3864"/>
          <w:sz w:val="23"/>
          <w:szCs w:val="23"/>
        </w:rPr>
        <w:t xml:space="preserve">7.1 Seed robustness</w:t>
      </w:r>
    </w:p>
    <w:p>
      <w:pPr>
        <w:spacing w:after="120" w:before="0" w:line="276"/>
        <w:jc w:val="left"/>
      </w:pPr>
      <w:r>
        <w:rPr>
          <w:rFonts w:ascii="Calibri" w:cs="Calibri" w:eastAsia="Calibri" w:hAnsi="Calibri"/>
          <w:b/>
          <w:bCs/>
          <w:color w:val="1A1A1A"/>
          <w:sz w:val="20"/>
          <w:szCs w:val="20"/>
        </w:rPr>
        <w:t xml:space="preserve">Question.</w:t>
      </w:r>
      <w:r>
        <w:rPr>
          <w:rFonts w:ascii="Calibri" w:cs="Calibri" w:eastAsia="Calibri" w:hAnsi="Calibri"/>
          <w:color w:val="1A1A1A"/>
          <w:sz w:val="20"/>
          <w:szCs w:val="20"/>
        </w:rPr>
        <w:t xml:space="preserve"> Is GaLore's accuracy gap to AdamW at rank 128 larger than seed-to-seed noise? A validation set of 872 sentences gives a sampling error of about 0.8 points on one accuracy, and the seed changes both the classifier head's initial weights and the data order, so a single run cannot answer this. We trained AdamW and GaLore rank 128 with four seeds (1, 2, 3 and 42), changing only </w:t>
      </w:r>
      <w:r>
        <w:rPr>
          <w:rFonts w:ascii="Consolas" w:cs="Consolas" w:eastAsia="Consolas" w:hAnsi="Consolas"/>
          <w:color w:val="1A1A1A"/>
          <w:sz w:val="20"/>
          <w:szCs w:val="20"/>
        </w:rPr>
        <w:t xml:space="preserve">--seed</w:t>
      </w:r>
      <w:r>
        <w:rPr>
          <w:rFonts w:ascii="Calibri" w:cs="Calibri" w:eastAsia="Calibri" w:hAnsi="Calibri"/>
          <w:color w:val="1A1A1A"/>
          <w:sz w:val="20"/>
          <w:szCs w:val="20"/>
        </w:rPr>
        <w:t xml:space="preserve">, across several Colab sessions with identical code.</w:t>
      </w:r>
    </w:p>
    <w:p>
      <w:pPr>
        <w:keepNext/>
        <w:spacing w:after="60" w:before="100"/>
      </w:pPr>
      <w:r>
        <w:rPr>
          <w:rFonts w:ascii="Calibri" w:cs="Calibri" w:eastAsia="Calibri" w:hAnsi="Calibri"/>
          <w:b/>
          <w:bCs/>
          <w:color w:val="595959"/>
          <w:sz w:val="18"/>
          <w:szCs w:val="18"/>
        </w:rPr>
        <w:t xml:space="preserve">Table 4. </w:t>
      </w:r>
      <w:r>
        <w:rPr>
          <w:rFonts w:ascii="Calibri" w:cs="Calibri" w:eastAsia="Calibri" w:hAnsi="Calibri"/>
          <w:color w:val="595959"/>
          <w:sz w:val="18"/>
          <w:szCs w:val="18"/>
        </w:rPr>
        <w:t xml:space="preserve">SST-2 validation accuracy (%) by seed. The gap is AdamW minus GaLore.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226"/>
      </w:tblGrid>
      <w:tr>
        <w:trPr>
          <w:cantSplit/>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Seed</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AdamW</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GaLore, rank 128</w:t>
            </w:r>
          </w:p>
        </w:tc>
        <w:tc>
          <w:tcPr>
            <w:tcW w:type="dxa" w:w="2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Gap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93.69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93.69</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0.00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93.58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93.23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0.35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93.81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93.23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0.58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42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94.15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93.92</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0.23</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left"/>
            </w:pPr>
            <w:r>
              <w:rPr>
                <w:rFonts w:ascii="Calibri" w:cs="Calibri" w:eastAsia="Calibri" w:hAnsi="Calibri"/>
                <w:b/>
                <w:bCs/>
                <w:color w:val="1A1A1A"/>
                <w:sz w:val="19"/>
                <w:szCs w:val="19"/>
              </w:rPr>
              <w:t xml:space="preserve">Mean (SD)</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93.81 (0.25)</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93.52 (0.34)</w:t>
            </w:r>
          </w:p>
        </w:tc>
        <w:tc>
          <w:tcPr>
            <w:tcW w:type="dxa" w:w="2226"/>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0.29 (0.24)</w:t>
            </w:r>
          </w:p>
        </w:tc>
      </w:tr>
    </w:tbl>
    <w:p>
      <w:pPr>
        <w:spacing w:after="100"/>
      </w:pPr>
    </w:p>
    <w:p>
      <w:pPr>
        <w:spacing w:after="120" w:before="0" w:line="276"/>
        <w:jc w:val="left"/>
      </w:pPr>
      <w:r>
        <w:rPr>
          <w:rFonts w:ascii="Calibri" w:cs="Calibri" w:eastAsia="Calibri" w:hAnsi="Calibri"/>
          <w:color w:val="1A1A1A"/>
          <w:sz w:val="20"/>
          <w:szCs w:val="20"/>
        </w:rPr>
        <w:t xml:space="preserve">GaLore was behind or level on every seed, with a mean paired gap of 0.29 points (standard error 0.12; paired t = 2.4 on 3 degrees of freedom, p ≈ 0.10). Mean peak memory was 2.063 GB for AdamW and 1.840 GB for GaLore (10.8% lower), and mean training time was 1531 s against 2580 s (1.7 times longer). The seed 42 runs, done in a separate session, matched the Milestone 2 table exactly (94.15% and 93.92%).</w:t>
      </w:r>
    </w:p>
    <w:p>
      <w:pPr>
        <w:spacing w:after="120" w:before="0" w:line="276"/>
        <w:jc w:val="left"/>
      </w:pPr>
      <w:r>
        <w:rPr>
          <w:rFonts w:ascii="Calibri" w:cs="Calibri" w:eastAsia="Calibri" w:hAnsi="Calibri"/>
          <w:b/>
          <w:bCs/>
          <w:color w:val="1A1A1A"/>
          <w:sz w:val="20"/>
          <w:szCs w:val="20"/>
        </w:rPr>
        <w:t xml:space="preserve">Conclusion.</w:t>
      </w:r>
      <w:r>
        <w:rPr>
          <w:rFonts w:ascii="Calibri" w:cs="Calibri" w:eastAsia="Calibri" w:hAnsi="Calibri"/>
          <w:color w:val="1A1A1A"/>
          <w:sz w:val="20"/>
          <w:szCs w:val="20"/>
        </w:rPr>
        <w:t xml:space="preserve"> The evidence points to a small accuracy cost of about 0.3 points for GaLore at rank 128, close to the 0.19-point gap the paper reports at rank 8 and comparable to the spread across seeds. With four seeds we cannot rule out chance (p ≈ 0.10), so we claim neither that GaLore matches AdamW nor that it falls short. These runs used α = 0.25, so the gap should not be assumed to hold at the paper's α.</w:t>
      </w:r>
    </w:p>
    <w:p>
      <w:pPr>
        <w:pStyle w:val="Heading2"/>
        <w:keepNext/>
        <w:spacing w:after="80" w:before="160"/>
      </w:pPr>
      <w:r>
        <w:rPr>
          <w:rFonts w:ascii="Calibri" w:cs="Calibri" w:eastAsia="Calibri" w:hAnsi="Calibri"/>
          <w:b/>
          <w:bCs/>
          <w:color w:val="1F3864"/>
          <w:sz w:val="23"/>
          <w:szCs w:val="23"/>
        </w:rPr>
        <w:t xml:space="preserve">7.2 Follow-up: the paper's GaLore scale</w:t>
      </w:r>
    </w:p>
    <w:p>
      <w:pPr>
        <w:spacing w:after="120" w:before="0" w:line="276"/>
        <w:jc w:val="left"/>
      </w:pPr>
      <w:r>
        <w:rPr>
          <w:rFonts w:ascii="Calibri" w:cs="Calibri" w:eastAsia="Calibri" w:hAnsi="Calibri"/>
          <w:b/>
          <w:bCs/>
          <w:color w:val="1A1A1A"/>
          <w:sz w:val="20"/>
          <w:szCs w:val="20"/>
        </w:rPr>
        <w:t xml:space="preserve">Question.</w:t>
      </w:r>
      <w:r>
        <w:rPr>
          <w:rFonts w:ascii="Calibri" w:cs="Calibri" w:eastAsia="Calibri" w:hAnsi="Calibri"/>
          <w:color w:val="1A1A1A"/>
          <w:sz w:val="20"/>
          <w:szCs w:val="20"/>
        </w:rPr>
        <w:t xml:space="preserve"> Our rank 4 result at α = 0.25 trails AdamW by 1.49 points, against 0.53 in the paper. Does α explain this? GaLore multiplies its update by α, so at the same learning rate α = 0.25 takes steps 16 times smaller than α = 4 on the projected matrices. The paper's SST-2 recipe uses α = 4 at rank 4 and α = 2 at rank 8 (Table 1). We trained three more seed 42 runs (Table 5). Run A is the paper's rank 4 setting, Run B its rank 8 setting, and Run C is rank 4 with our shared learning rate, so it differs from the earlier rank 4 run in α alone.</w:t>
      </w:r>
    </w:p>
    <w:p>
      <w:pPr>
        <w:keepNext/>
        <w:spacing w:after="60" w:before="100"/>
      </w:pPr>
      <w:r>
        <w:rPr>
          <w:rFonts w:ascii="Calibri" w:cs="Calibri" w:eastAsia="Calibri" w:hAnsi="Calibri"/>
          <w:b/>
          <w:bCs/>
          <w:color w:val="595959"/>
          <w:sz w:val="18"/>
          <w:szCs w:val="18"/>
        </w:rPr>
        <w:t xml:space="preserve">Table 5. </w:t>
      </w:r>
      <w:r>
        <w:rPr>
          <w:rFonts w:ascii="Calibri" w:cs="Calibri" w:eastAsia="Calibri" w:hAnsi="Calibri"/>
          <w:color w:val="595959"/>
          <w:sz w:val="18"/>
          <w:szCs w:val="18"/>
        </w:rPr>
        <w:t xml:space="preserve">GaLore with the paper's α, seed 42, 3 epochs. The first and last rows are from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400"/>
        <w:gridCol w:w="800"/>
        <w:gridCol w:w="1400"/>
        <w:gridCol w:w="1500"/>
        <w:gridCol w:w="1426"/>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Run</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Rank</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Learning rate</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α</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Accuracy (%)</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Peak memory (GB)</w:t>
            </w:r>
          </w:p>
        </w:tc>
        <w:tc>
          <w:tcPr>
            <w:tcW w:type="dxa" w:w="1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Time (s)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Earlier run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2363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93.58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2489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C</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2434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B</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1.727</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2487</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AdamW</w:t>
            </w:r>
          </w:p>
        </w:tc>
        <w:tc>
          <w:tcPr>
            <w:tcW w:type="dxa" w:w="8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n/a</w:t>
            </w:r>
          </w:p>
        </w:tc>
        <w:tc>
          <w:tcPr>
            <w:tcW w:type="dxa" w:w="14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n/a</w:t>
            </w:r>
          </w:p>
        </w:tc>
        <w:tc>
          <w:tcPr>
            <w:tcW w:type="dxa" w:w="14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94.15</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2.062</w:t>
            </w:r>
          </w:p>
        </w:tc>
        <w:tc>
          <w:tcPr>
            <w:tcW w:type="dxa" w:w="1426"/>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1478</w:t>
            </w:r>
          </w:p>
        </w:tc>
      </w:tr>
    </w:tbl>
    <w:p>
      <w:pPr>
        <w:spacing w:after="100"/>
      </w:pPr>
    </w:p>
    <w:p>
      <w:pPr>
        <w:spacing w:after="120" w:before="0" w:line="276"/>
        <w:jc w:val="left"/>
      </w:pPr>
      <w:r>
        <w:rPr>
          <w:rFonts w:ascii="Calibri" w:cs="Calibri" w:eastAsia="Calibri" w:hAnsi="Calibri"/>
          <w:color w:val="1A1A1A"/>
          <w:sz w:val="20"/>
          <w:szCs w:val="20"/>
        </w:rPr>
        <w:t xml:space="preserve">Changing α alone from 0.25 to 4 (Run C against the earlier rank 4 run) raised accuracy from 92.66% to 94.15%, which is 13 more of the 872 sentences correct, with no change in peak memory. That is more than four times the seed standard deviation of 0.34 points in Section 7.1, so seed noise is unlikely, although it is one comparison on one seed. Run C matches AdamW's 94.15% with 16.4% less peak memory. Run B reaches 94.50%, 3 sentences above AdamW, which is within the noise, so we do not read it as GaLore beating AdamW. Run A, the paper's own rank 4 setting, scored 93.58%, 5 sentences below Run C and also within noise; a learning rate of 1e-5 may be too low for 3 epochs, which we did not test. Runs B and C land within 0.12 points of the paper's GaLore scores (94.38% at rank 8, 94.04% at rank 4).</w:t>
      </w:r>
    </w:p>
    <w:p>
      <w:pPr>
        <w:spacing w:after="120" w:before="0" w:line="276"/>
        <w:jc w:val="left"/>
      </w:pPr>
      <w:r>
        <w:rPr>
          <w:rFonts w:ascii="Calibri" w:cs="Calibri" w:eastAsia="Calibri" w:hAnsi="Calibri"/>
          <w:b/>
          <w:bCs/>
          <w:color w:val="1A1A1A"/>
          <w:sz w:val="20"/>
          <w:szCs w:val="20"/>
        </w:rPr>
        <w:t xml:space="preserve">Conclusion.</w:t>
      </w:r>
      <w:r>
        <w:rPr>
          <w:rFonts w:ascii="Calibri" w:cs="Calibri" w:eastAsia="Calibri" w:hAnsi="Calibri"/>
          <w:color w:val="1A1A1A"/>
          <w:sz w:val="20"/>
          <w:szCs w:val="20"/>
        </w:rPr>
        <w:t xml:space="preserve"> With the paper's α, low-rank GaLore reached AdamW-level accuracy on this seed while keeping the 16% memory saving, so most of our first-pass gap at low rank is explained by α. Three single-seed runs cannot show that the match is exact, and a seed study at the paper's α is the natural next step.</w:t>
      </w:r>
    </w:p>
    <w:p>
      <w:pPr>
        <w:pStyle w:val="Heading1"/>
        <w:keepNext/>
        <w:spacing w:after="100" w:before="280"/>
      </w:pPr>
      <w:r>
        <w:rPr>
          <w:rFonts w:ascii="Calibri" w:cs="Calibri" w:eastAsia="Calibri" w:hAnsi="Calibri"/>
          <w:b/>
          <w:bCs/>
          <w:color w:val="1F3864"/>
          <w:sz w:val="28"/>
          <w:szCs w:val="28"/>
        </w:rPr>
        <w:t xml:space="preserve">8. Analysis and discussion</w:t>
      </w:r>
    </w:p>
    <w:p>
      <w:pPr>
        <w:spacing w:after="120" w:before="0" w:line="276"/>
        <w:jc w:val="left"/>
      </w:pPr>
      <w:r>
        <w:rPr>
          <w:rFonts w:ascii="Calibri" w:cs="Calibri" w:eastAsia="Calibri" w:hAnsi="Calibri"/>
          <w:b/>
          <w:bCs/>
          <w:color w:val="1A1A1A"/>
          <w:sz w:val="20"/>
          <w:szCs w:val="20"/>
        </w:rPr>
        <w:t xml:space="preserve">What the results support.</w:t>
      </w:r>
      <w:r>
        <w:rPr>
          <w:rFonts w:ascii="Calibri" w:cs="Calibri" w:eastAsia="Calibri" w:hAnsi="Calibri"/>
          <w:color w:val="1A1A1A"/>
          <w:sz w:val="20"/>
          <w:szCs w:val="20"/>
        </w:rPr>
        <w:t xml:space="preserve"> GaLore lowers peak memory by 10.7% to 16.4% and trains 1.6 to 1.7 times slower. At the library-default α its accuracy lies between LoRA and AdamW. At the paper's α, rank 4 and rank 8 reach AdamW's level on one seed, so in our best settings the memory saving cost little or no accuracy. The LoRA comparison needs care: LoRA is usually trained with a much larger learning rate than full fine-tuning, so our shared 2e-5 probably understates it and the gap is an upper bound on GaLore's advantage. At α = 0.25 accuracy rises with rank (a 1.26-point step from rank 4 to rank 128, above the seed SD of 0.34), but rank 4 reaches 94.15% at α = 4, so much of that trend may come from the small α. We did not test the rank trend at the paper's α.</w:t>
      </w:r>
    </w:p>
    <w:p>
      <w:pPr>
        <w:spacing w:after="120" w:before="0" w:line="276"/>
        <w:jc w:val="left"/>
      </w:pPr>
      <w:r>
        <w:rPr>
          <w:rFonts w:ascii="Calibri" w:cs="Calibri" w:eastAsia="Calibri" w:hAnsi="Calibri"/>
          <w:b/>
          <w:bCs/>
          <w:color w:val="1A1A1A"/>
          <w:sz w:val="20"/>
          <w:szCs w:val="20"/>
        </w:rPr>
        <w:t xml:space="preserve">Memory saved against memory expected.</w:t>
      </w:r>
      <w:r>
        <w:rPr>
          <w:rFonts w:ascii="Calibri" w:cs="Calibri" w:eastAsia="Calibri" w:hAnsi="Calibri"/>
          <w:color w:val="1A1A1A"/>
          <w:sz w:val="20"/>
          <w:szCs w:val="20"/>
        </w:rPr>
        <w:t xml:space="preserve"> We estimated the optimiser saving by hand. The 72 GaLore matrices hold 84.9M parameters, so AdamW keeps 0.63 GB of state for them, which GaLore shrinks to 4 MB at rank 4 and 135 MB at rank 128. The measured drop in peak memory (0.34 GB at rank 4, 0.22 GB at rank 128) is only 54% to 44% of the expected saving (0.63 GB to 0.50 GB). We did not profile memory, so the reason is a hypothesis: the peak probably includes temporary buffers from the SVD and projection steps and the full gradient, which must exist before it is projected. Our savings are also far below the paper's 65.5%, which refers to optimiser states in much larger models. Our runs support the direction of the memory claim but do not test its size.</w:t>
      </w:r>
    </w:p>
    <w:p>
      <w:pPr>
        <w:spacing w:after="120" w:before="0" w:line="276"/>
        <w:jc w:val="left"/>
      </w:pPr>
      <w:r>
        <w:rPr>
          <w:rFonts w:ascii="Calibri" w:cs="Calibri" w:eastAsia="Calibri" w:hAnsi="Calibri"/>
          <w:b/>
          <w:bCs/>
          <w:color w:val="1A1A1A"/>
          <w:sz w:val="20"/>
          <w:szCs w:val="20"/>
        </w:rPr>
        <w:t xml:space="preserve">Time overhead.</w:t>
      </w:r>
      <w:r>
        <w:rPr>
          <w:rFonts w:ascii="Calibri" w:cs="Calibri" w:eastAsia="Calibri" w:hAnsi="Calibri"/>
          <w:color w:val="1A1A1A"/>
          <w:sz w:val="20"/>
          <w:szCs w:val="20"/>
        </w:rPr>
        <w:t xml:space="preserve"> Our slowdown of 60% to 69% exceeds the paper's figures (below 10% against memory offloading, and 17% for 8-bit GaLore against 8-bit Adam). The setups differ in model size, hardware and precision, and we did not isolate the SVD time, so we cannot attribute the gap to the SVD itself. On a small model the fixed cost of the projections is likely a larger share of each step.</w:t>
      </w:r>
    </w:p>
    <w:p>
      <w:pPr>
        <w:spacing w:after="120" w:before="0" w:line="276"/>
        <w:jc w:val="left"/>
      </w:pPr>
      <w:r>
        <w:rPr>
          <w:rFonts w:ascii="Calibri" w:cs="Calibri" w:eastAsia="Calibri" w:hAnsi="Calibri"/>
          <w:b/>
          <w:bCs/>
          <w:color w:val="1A1A1A"/>
          <w:sz w:val="20"/>
          <w:szCs w:val="20"/>
        </w:rPr>
        <w:t xml:space="preserve">Deployment.</w:t>
      </w:r>
      <w:r>
        <w:rPr>
          <w:rFonts w:ascii="Calibri" w:cs="Calibri" w:eastAsia="Calibri" w:hAnsi="Calibri"/>
          <w:color w:val="1A1A1A"/>
          <w:sz w:val="20"/>
          <w:szCs w:val="20"/>
        </w:rPr>
        <w:t xml:space="preserve"> The app runs both models on CPU with confidence scores. The seed 42 models differ by two correct answers out of 872, so the demo shows a working deployment and not a visible quality comparison. The deployed GaLore model is the rank 128, α = 0.25 run, and we did not retrain it with the paper's α. Predictions are binary, so neutral or out-of-domain text is forced into one class, and softmax confidence is not calibrated.</w:t>
      </w:r>
    </w:p>
    <w:p>
      <w:pPr>
        <w:spacing w:after="120" w:before="0" w:line="276"/>
        <w:jc w:val="left"/>
      </w:pPr>
      <w:r>
        <w:rPr>
          <w:rFonts w:ascii="Calibri" w:cs="Calibri" w:eastAsia="Calibri" w:hAnsi="Calibri"/>
          <w:b/>
          <w:bCs/>
          <w:color w:val="1A1A1A"/>
          <w:sz w:val="20"/>
          <w:szCs w:val="20"/>
        </w:rPr>
        <w:t xml:space="preserve">Limitations.</w:t>
      </w:r>
      <w:r>
        <w:rPr>
          <w:rFonts w:ascii="Calibri" w:cs="Calibri" w:eastAsia="Calibri" w:hAnsi="Calibri"/>
          <w:color w:val="1A1A1A"/>
          <w:sz w:val="20"/>
          <w:szCs w:val="20"/>
        </w:rPr>
        <w:t xml:space="preserve"> (1) Training for 3 epochs instead of 30 and one shared learning rate depart from the paper's recipe, and so does α = 0.25 in every run outside Section 7.2. (2) One task and one model size. (3) Only AdamW and GaLore rank 128 (α = 0.25) were repeated across four seeds; the rank sweep, LoRA and the paper-α runs use seed 42 only. (4) The validation set doubles as our reporting set, because the GLUE test labels are hidden. (5) One GPU type.</w:t>
      </w:r>
    </w:p>
    <w:p>
      <w:pPr>
        <w:spacing w:after="120" w:before="0" w:line="276"/>
        <w:jc w:val="left"/>
      </w:pPr>
      <w:r>
        <w:rPr>
          <w:rFonts w:ascii="Calibri" w:cs="Calibri" w:eastAsia="Calibri" w:hAnsi="Calibri"/>
          <w:b/>
          <w:bCs/>
          <w:color w:val="1A1A1A"/>
          <w:sz w:val="20"/>
          <w:szCs w:val="20"/>
        </w:rPr>
        <w:t xml:space="preserve">Conclusion and next steps.</w:t>
      </w:r>
      <w:r>
        <w:rPr>
          <w:rFonts w:ascii="Calibri" w:cs="Calibri" w:eastAsia="Calibri" w:hAnsi="Calibri"/>
          <w:color w:val="1A1A1A"/>
          <w:sz w:val="20"/>
          <w:szCs w:val="20"/>
        </w:rPr>
        <w:t xml:space="preserve"> The reproduction confirms the paper's main pattern on a small model: GaLore trades training time for lower memory, does better than LoRA at our budget, and, with the paper's scale α, reached full fine-tuning's accuracy in our single-seed runs. The next things to test are a seed study at the paper's α against AdamW, a longer schedule, LoRA at a higher learning rate, and a memory profile to locate the peak.</w:t>
      </w:r>
    </w:p>
    <w:p>
      <w:pPr>
        <w:pStyle w:val="Heading1"/>
        <w:keepNext/>
        <w:spacing w:after="100" w:before="280"/>
      </w:pPr>
      <w:r>
        <w:rPr>
          <w:rFonts w:ascii="Calibri" w:cs="Calibri" w:eastAsia="Calibri" w:hAnsi="Calibri"/>
          <w:b/>
          <w:bCs/>
          <w:color w:val="1F3864"/>
          <w:sz w:val="28"/>
          <w:szCs w:val="28"/>
        </w:rPr>
        <w:t xml:space="preserve">9. References</w:t>
      </w:r>
    </w:p>
    <w:p>
      <w:pPr>
        <w:spacing w:after="70" w:line="260"/>
        <w:ind w:left="360" w:hanging="360"/>
      </w:pPr>
      <w:r>
        <w:rPr>
          <w:rFonts w:ascii="Calibri" w:cs="Calibri" w:eastAsia="Calibri" w:hAnsi="Calibri"/>
          <w:color w:val="1A1A1A"/>
          <w:sz w:val="19"/>
          <w:szCs w:val="19"/>
        </w:rPr>
        <w:t xml:space="preserve">Chen, X., Feng, K., Li, C., Lai, X., Yue, X., Yuan, Y., and Wang, G. (2024). Fira: Can We Achieve Full-rank Training of LLMs Under Low-rank Constraint? arXiv:2410.01623.</w:t>
      </w:r>
    </w:p>
    <w:p>
      <w:pPr>
        <w:spacing w:after="70" w:line="260"/>
        <w:ind w:left="360" w:hanging="360"/>
      </w:pPr>
      <w:r>
        <w:rPr>
          <w:rFonts w:ascii="Calibri" w:cs="Calibri" w:eastAsia="Calibri" w:hAnsi="Calibri"/>
          <w:color w:val="1A1A1A"/>
          <w:sz w:val="19"/>
          <w:szCs w:val="19"/>
        </w:rPr>
        <w:t xml:space="preserve">Dettmers, T., Lewis, M., Shleifer, S., and Zettlemoyer, L. (2022). 8-bit Optimizers via Block-wise Quantization. ICLR 2022. arXiv:2110.02861.</w:t>
      </w:r>
    </w:p>
    <w:p>
      <w:pPr>
        <w:spacing w:after="70" w:line="260"/>
        <w:ind w:left="360" w:hanging="360"/>
      </w:pPr>
      <w:r>
        <w:rPr>
          <w:rFonts w:ascii="Calibri" w:cs="Calibri" w:eastAsia="Calibri" w:hAnsi="Calibri"/>
          <w:color w:val="1A1A1A"/>
          <w:sz w:val="19"/>
          <w:szCs w:val="19"/>
        </w:rPr>
        <w:t xml:space="preserve">Hu, E. J., Shen, Y., Wallis, P., Allen-Zhu, Z., Li, Y., Wang, S., Wang, L., and Chen, W. (2022). LoRA: Low-Rank Adaptation of Large Language Models. ICLR 2022. arXiv:2106.09685.</w:t>
      </w:r>
    </w:p>
    <w:p>
      <w:pPr>
        <w:spacing w:after="70" w:line="260"/>
        <w:ind w:left="360" w:hanging="360"/>
      </w:pPr>
      <w:r>
        <w:rPr>
          <w:rFonts w:ascii="Calibri" w:cs="Calibri" w:eastAsia="Calibri" w:hAnsi="Calibri"/>
          <w:color w:val="1A1A1A"/>
          <w:sz w:val="19"/>
          <w:szCs w:val="19"/>
        </w:rPr>
        <w:t xml:space="preserve">Kingma, D. P., and Ba, J. (2015). Adam: A Method for Stochastic Optimization. ICLR 2015. arXiv:1412.6980.</w:t>
      </w:r>
    </w:p>
    <w:p>
      <w:pPr>
        <w:spacing w:after="70" w:line="260"/>
        <w:ind w:left="360" w:hanging="360"/>
      </w:pPr>
      <w:r>
        <w:rPr>
          <w:rFonts w:ascii="Calibri" w:cs="Calibri" w:eastAsia="Calibri" w:hAnsi="Calibri"/>
          <w:color w:val="1A1A1A"/>
          <w:sz w:val="19"/>
          <w:szCs w:val="19"/>
        </w:rPr>
        <w:t xml:space="preserve">Lialin, V., Muckatira, S., Shivagunde, N., and Rumshisky, A. (2024). ReLoRA: High-Rank Training Through Low-Rank Updates. ICLR 2024. arXiv:2307.05695.</w:t>
      </w:r>
    </w:p>
    <w:p>
      <w:pPr>
        <w:spacing w:after="70" w:line="260"/>
        <w:ind w:left="360" w:hanging="360"/>
      </w:pPr>
      <w:r>
        <w:rPr>
          <w:rFonts w:ascii="Calibri" w:cs="Calibri" w:eastAsia="Calibri" w:hAnsi="Calibri"/>
          <w:color w:val="1A1A1A"/>
          <w:sz w:val="19"/>
          <w:szCs w:val="19"/>
        </w:rPr>
        <w:t xml:space="preserve">Liu, Y., Ott, M., Goyal, N., et al. (2019). RoBERTa: A Robustly Optimized BERT Pretraining Approach. arXiv:1907.11692.</w:t>
      </w:r>
    </w:p>
    <w:p>
      <w:pPr>
        <w:spacing w:after="70" w:line="260"/>
        <w:ind w:left="360" w:hanging="360"/>
      </w:pPr>
      <w:r>
        <w:rPr>
          <w:rFonts w:ascii="Calibri" w:cs="Calibri" w:eastAsia="Calibri" w:hAnsi="Calibri"/>
          <w:color w:val="1A1A1A"/>
          <w:sz w:val="19"/>
          <w:szCs w:val="19"/>
        </w:rPr>
        <w:t xml:space="preserve">Loshchilov, I., and Hutter, F. (2019). Decoupled Weight Decay Regularization. ICLR 2019. arXiv:1711.05101.</w:t>
      </w:r>
    </w:p>
    <w:p>
      <w:pPr>
        <w:spacing w:after="70" w:line="260"/>
        <w:ind w:left="360" w:hanging="360"/>
      </w:pPr>
      <w:r>
        <w:rPr>
          <w:rFonts w:ascii="Calibri" w:cs="Calibri" w:eastAsia="Calibri" w:hAnsi="Calibri"/>
          <w:color w:val="1A1A1A"/>
          <w:sz w:val="19"/>
          <w:szCs w:val="19"/>
        </w:rPr>
        <w:t xml:space="preserve">Socher, R., Perelygin, A., Wu, J., et al. (2013). Recursive Deep Models for Semantic Compositionality Over a Sentiment Treebank. EMNLP 2013.</w:t>
      </w:r>
    </w:p>
    <w:p>
      <w:pPr>
        <w:spacing w:after="70" w:line="260"/>
        <w:ind w:left="360" w:hanging="360"/>
      </w:pPr>
      <w:r>
        <w:rPr>
          <w:rFonts w:ascii="Calibri" w:cs="Calibri" w:eastAsia="Calibri" w:hAnsi="Calibri"/>
          <w:color w:val="1A1A1A"/>
          <w:sz w:val="19"/>
          <w:szCs w:val="19"/>
        </w:rPr>
        <w:t xml:space="preserve">Wang, A., Singh, A., Michael, J., Hill, F., Levy, O., and Bowman, S. R. (2019). GLUE: A Multi-Task Benchmark and Analysis Platform for Natural Language Understanding. ICLR 2019. arXiv:1804.07461.</w:t>
      </w:r>
    </w:p>
    <w:p>
      <w:pPr>
        <w:spacing w:after="70" w:line="260"/>
        <w:ind w:left="360" w:hanging="360"/>
      </w:pPr>
      <w:r>
        <w:rPr>
          <w:rFonts w:ascii="Calibri" w:cs="Calibri" w:eastAsia="Calibri" w:hAnsi="Calibri"/>
          <w:color w:val="1A1A1A"/>
          <w:sz w:val="19"/>
          <w:szCs w:val="19"/>
        </w:rPr>
        <w:t xml:space="preserve">Wolf, T., Debut, L., Sanh, V., et al. (2020). Transformers: State-of-the-Art Natural Language Processing. EMNLP 2020 (System Demonstrations).</w:t>
      </w:r>
    </w:p>
    <w:p>
      <w:pPr>
        <w:spacing w:after="70" w:line="260"/>
        <w:ind w:left="360" w:hanging="360"/>
      </w:pPr>
      <w:r>
        <w:rPr>
          <w:rFonts w:ascii="Calibri" w:cs="Calibri" w:eastAsia="Calibri" w:hAnsi="Calibri"/>
          <w:color w:val="1A1A1A"/>
          <w:sz w:val="19"/>
          <w:szCs w:val="19"/>
        </w:rPr>
        <w:t xml:space="preserve">Zhang, Z., Jaiswal, A., Yin, L., Liu, S., Zhao, J., Tian, Y., and Wang, Z. (2024). Q-GaLore: Quantized GaLore with INT4 Projection and Layer-Adaptive Low-Rank Gradients. arXiv:2407.08296.</w:t>
      </w:r>
    </w:p>
    <w:p>
      <w:pPr>
        <w:spacing w:after="70" w:line="260"/>
        <w:ind w:left="360" w:hanging="360"/>
      </w:pPr>
      <w:r>
        <w:rPr>
          <w:rFonts w:ascii="Calibri" w:cs="Calibri" w:eastAsia="Calibri" w:hAnsi="Calibri"/>
          <w:color w:val="1A1A1A"/>
          <w:sz w:val="19"/>
          <w:szCs w:val="19"/>
        </w:rPr>
        <w:t xml:space="preserve">Zhao, J., Zhang, Z., Chen, B., Wang, Z., Anandkumar, A., and Tian, Y. (2024). GaLore: Memory-Efficient LLM Training by Gradient Low-Rank Projection. ICML 2024. arXiv:2403.03507.</w:t>
      </w:r>
    </w:p>
    <w:sectPr>
      <w:footerReference w:type="default" r:id="rId7"/>
      <w:pgSz w:w="11906" w:h="16838" w:orient="portrait"/>
      <w:pgMar w:top="1134"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ab65732b06028ad80c1c0585ccd4185ecd5f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GaLore: Memory-Efficient Fine-Tuning of RoBERTa-base on SST-2</dc:title>
  <dc:creator>Project team</dc:creator>
  <cp:lastModifiedBy>Un-named</cp:lastModifiedBy>
  <cp:revision>1</cp:revision>
  <dcterms:created xsi:type="dcterms:W3CDTF">2026-10-20T14:43:23.948Z</dcterms:created>
  <dcterms:modified xsi:type="dcterms:W3CDTF">2026-10-20T14:43:23.949Z</dcterms:modified>
</cp:coreProperties>
</file>

<file path=docProps/custom.xml><?xml version="1.0" encoding="utf-8"?>
<Properties xmlns="http://schemas.openxmlformats.org/officeDocument/2006/custom-properties" xmlns:vt="http://schemas.openxmlformats.org/officeDocument/2006/docPropsVTypes"/>
</file>