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Sean Blanton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Introduction to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Aug 19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Programming Guidelines Followed (20pts)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-Required comments present in class comment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-Indentations consistent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-Block bracing consistent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 “public class” is created (20pts)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-project01BlantonMain is a public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 “main” method is created (20pts)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-main() method as member of project01BlantonMain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9525" cy="3962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 displays a “Hello World” message to command line (20pts)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-Results of jar execution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 files are placed in an </w:t>
      </w:r>
      <w:r w:rsidDel="00000000" w:rsidR="00000000" w:rsidRPr="00000000">
        <w:rPr>
          <w:b w:val="1"/>
          <w:i w:val="1"/>
          <w:rtl w:val="0"/>
        </w:rPr>
        <w:t xml:space="preserve">executable</w:t>
      </w:r>
      <w:r w:rsidDel="00000000" w:rsidR="00000000" w:rsidRPr="00000000">
        <w:rPr>
          <w:b w:val="1"/>
          <w:rtl w:val="0"/>
        </w:rPr>
        <w:t xml:space="preserve"> JAR file (20pts)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-Execution of jar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-Manifest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javac 1.8.0_51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193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81375" cy="15906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9gjfcoh0o1v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a standard HelloWorld project for java.  Used intelliJ IDEA community IDE.  Originally made class a part of com.IntroJava2015 package and executable jar file/manifest by intelliJ executed but refactored to follow provided directions more closely.  Elected not to in-line comment println call because naming seemed self explanatory “print line to system out”.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