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A03BC" w14:textId="1BCBBA17" w:rsidR="00AC32D5" w:rsidRDefault="00AC32D5" w:rsidP="00AC32D5">
      <w:pPr>
        <w:pStyle w:val="SemEspaamento"/>
        <w:spacing w:line="360" w:lineRule="auto"/>
        <w:jc w:val="both"/>
        <w:rPr>
          <w:rFonts w:ascii="Times New Roman" w:hAnsi="Times New Roman" w:cs="Times New Roman"/>
          <w:sz w:val="24"/>
          <w:szCs w:val="24"/>
        </w:rPr>
      </w:pPr>
      <w:r>
        <w:rPr>
          <w:rFonts w:ascii="Times New Roman" w:hAnsi="Times New Roman" w:cs="Times New Roman"/>
          <w:b/>
          <w:bCs/>
          <w:sz w:val="24"/>
          <w:szCs w:val="24"/>
        </w:rPr>
        <w:t>Tabela</w:t>
      </w:r>
      <w:r w:rsidRPr="0024474B">
        <w:rPr>
          <w:rFonts w:ascii="Times New Roman" w:hAnsi="Times New Roman" w:cs="Times New Roman"/>
          <w:b/>
          <w:bCs/>
          <w:sz w:val="24"/>
          <w:szCs w:val="24"/>
        </w:rPr>
        <w:t xml:space="preserve"> </w:t>
      </w:r>
      <w:r>
        <w:rPr>
          <w:rFonts w:ascii="Times New Roman" w:hAnsi="Times New Roman" w:cs="Times New Roman"/>
          <w:b/>
          <w:bCs/>
          <w:sz w:val="24"/>
          <w:szCs w:val="24"/>
        </w:rPr>
        <w:t>X</w:t>
      </w:r>
      <w:r>
        <w:rPr>
          <w:rFonts w:ascii="Times New Roman" w:hAnsi="Times New Roman" w:cs="Times New Roman"/>
          <w:sz w:val="24"/>
          <w:szCs w:val="24"/>
        </w:rPr>
        <w:t xml:space="preserve"> – Detalhamento das variáveis </w:t>
      </w:r>
      <w:r w:rsidR="003A63AA">
        <w:rPr>
          <w:rFonts w:ascii="Times New Roman" w:hAnsi="Times New Roman" w:cs="Times New Roman"/>
          <w:sz w:val="24"/>
          <w:szCs w:val="24"/>
        </w:rPr>
        <w:t>do modelo</w:t>
      </w:r>
    </w:p>
    <w:tbl>
      <w:tblPr>
        <w:tblW w:w="5155" w:type="pct"/>
        <w:tblLayout w:type="fixed"/>
        <w:tblCellMar>
          <w:left w:w="70" w:type="dxa"/>
          <w:right w:w="70" w:type="dxa"/>
        </w:tblCellMar>
        <w:tblLook w:val="04A0" w:firstRow="1" w:lastRow="0" w:firstColumn="1" w:lastColumn="0" w:noHBand="0" w:noVBand="1"/>
      </w:tblPr>
      <w:tblGrid>
        <w:gridCol w:w="1841"/>
        <w:gridCol w:w="20"/>
        <w:gridCol w:w="2287"/>
        <w:gridCol w:w="16"/>
        <w:gridCol w:w="29"/>
        <w:gridCol w:w="1109"/>
        <w:gridCol w:w="24"/>
        <w:gridCol w:w="34"/>
        <w:gridCol w:w="1905"/>
        <w:gridCol w:w="78"/>
        <w:gridCol w:w="1622"/>
        <w:gridCol w:w="45"/>
        <w:gridCol w:w="51"/>
      </w:tblGrid>
      <w:tr w:rsidR="008A0C59" w:rsidRPr="00C83685" w14:paraId="55177CAC" w14:textId="77777777" w:rsidTr="00657EC8">
        <w:trPr>
          <w:gridAfter w:val="2"/>
          <w:wAfter w:w="54" w:type="pct"/>
          <w:trHeight w:val="290"/>
        </w:trPr>
        <w:tc>
          <w:tcPr>
            <w:tcW w:w="1016" w:type="pct"/>
            <w:tcBorders>
              <w:top w:val="single" w:sz="4" w:space="0" w:color="auto"/>
              <w:left w:val="nil"/>
              <w:bottom w:val="single" w:sz="4" w:space="0" w:color="auto"/>
              <w:right w:val="nil"/>
            </w:tcBorders>
            <w:shd w:val="clear" w:color="auto" w:fill="auto"/>
            <w:vAlign w:val="center"/>
            <w:hideMark/>
          </w:tcPr>
          <w:p w14:paraId="35FE37F6" w14:textId="77777777" w:rsidR="00AC32D5" w:rsidRPr="00C83685" w:rsidRDefault="00AC32D5" w:rsidP="003958C5">
            <w:pPr>
              <w:spacing w:after="0" w:line="240" w:lineRule="auto"/>
              <w:rPr>
                <w:rFonts w:ascii="Times New Roman" w:eastAsia="Times New Roman" w:hAnsi="Times New Roman" w:cs="Times New Roman"/>
                <w:b/>
                <w:bCs/>
                <w:color w:val="000000"/>
                <w:kern w:val="0"/>
                <w:sz w:val="18"/>
                <w:szCs w:val="18"/>
                <w:lang w:eastAsia="pt-BR"/>
                <w14:ligatures w14:val="none"/>
              </w:rPr>
            </w:pPr>
            <w:r w:rsidRPr="00C83685">
              <w:rPr>
                <w:rFonts w:ascii="Times New Roman" w:eastAsia="Times New Roman" w:hAnsi="Times New Roman" w:cs="Times New Roman"/>
                <w:b/>
                <w:bCs/>
                <w:color w:val="000000"/>
                <w:kern w:val="0"/>
                <w:sz w:val="18"/>
                <w:szCs w:val="18"/>
                <w:lang w:eastAsia="pt-BR"/>
                <w14:ligatures w14:val="none"/>
              </w:rPr>
              <w:t>Nome</w:t>
            </w:r>
          </w:p>
        </w:tc>
        <w:tc>
          <w:tcPr>
            <w:tcW w:w="1273" w:type="pct"/>
            <w:gridSpan w:val="2"/>
            <w:tcBorders>
              <w:top w:val="single" w:sz="4" w:space="0" w:color="auto"/>
              <w:left w:val="nil"/>
              <w:bottom w:val="single" w:sz="4" w:space="0" w:color="auto"/>
              <w:right w:val="nil"/>
            </w:tcBorders>
            <w:shd w:val="clear" w:color="auto" w:fill="auto"/>
            <w:vAlign w:val="center"/>
            <w:hideMark/>
          </w:tcPr>
          <w:p w14:paraId="74B5AB16" w14:textId="77777777" w:rsidR="00AC32D5" w:rsidRPr="00C83685" w:rsidRDefault="00AC32D5" w:rsidP="003958C5">
            <w:pPr>
              <w:spacing w:after="0" w:line="240" w:lineRule="auto"/>
              <w:jc w:val="center"/>
              <w:rPr>
                <w:rFonts w:ascii="Times New Roman" w:eastAsia="Times New Roman" w:hAnsi="Times New Roman" w:cs="Times New Roman"/>
                <w:b/>
                <w:bCs/>
                <w:color w:val="000000"/>
                <w:kern w:val="0"/>
                <w:sz w:val="18"/>
                <w:szCs w:val="18"/>
                <w:lang w:eastAsia="pt-BR"/>
                <w14:ligatures w14:val="none"/>
              </w:rPr>
            </w:pPr>
            <w:r w:rsidRPr="00C83685">
              <w:rPr>
                <w:rFonts w:ascii="Times New Roman" w:eastAsia="Times New Roman" w:hAnsi="Times New Roman" w:cs="Times New Roman"/>
                <w:b/>
                <w:bCs/>
                <w:color w:val="000000"/>
                <w:kern w:val="0"/>
                <w:sz w:val="18"/>
                <w:szCs w:val="18"/>
                <w:lang w:eastAsia="pt-BR"/>
                <w14:ligatures w14:val="none"/>
              </w:rPr>
              <w:t>Definição</w:t>
            </w:r>
          </w:p>
        </w:tc>
        <w:tc>
          <w:tcPr>
            <w:tcW w:w="637" w:type="pct"/>
            <w:gridSpan w:val="3"/>
            <w:tcBorders>
              <w:top w:val="single" w:sz="4" w:space="0" w:color="auto"/>
              <w:left w:val="nil"/>
              <w:bottom w:val="single" w:sz="4" w:space="0" w:color="auto"/>
              <w:right w:val="nil"/>
            </w:tcBorders>
            <w:shd w:val="clear" w:color="auto" w:fill="auto"/>
            <w:vAlign w:val="center"/>
            <w:hideMark/>
          </w:tcPr>
          <w:p w14:paraId="78715935" w14:textId="2ACB448D" w:rsidR="00AC32D5" w:rsidRPr="00C83685" w:rsidRDefault="0066477B" w:rsidP="003958C5">
            <w:pPr>
              <w:spacing w:after="0" w:line="240" w:lineRule="auto"/>
              <w:jc w:val="center"/>
              <w:rPr>
                <w:rFonts w:ascii="Times New Roman" w:eastAsia="Times New Roman" w:hAnsi="Times New Roman" w:cs="Times New Roman"/>
                <w:b/>
                <w:bCs/>
                <w:color w:val="000000"/>
                <w:kern w:val="0"/>
                <w:sz w:val="18"/>
                <w:szCs w:val="18"/>
                <w:lang w:eastAsia="pt-BR"/>
                <w14:ligatures w14:val="none"/>
              </w:rPr>
            </w:pPr>
            <w:r>
              <w:rPr>
                <w:rFonts w:ascii="Times New Roman" w:eastAsia="Times New Roman" w:hAnsi="Times New Roman" w:cs="Times New Roman"/>
                <w:b/>
                <w:bCs/>
                <w:color w:val="000000"/>
                <w:kern w:val="0"/>
                <w:sz w:val="18"/>
                <w:szCs w:val="18"/>
                <w:lang w:eastAsia="pt-BR"/>
                <w14:ligatures w14:val="none"/>
              </w:rPr>
              <w:t>S[</w:t>
            </w:r>
            <w:proofErr w:type="spellStart"/>
            <w:r>
              <w:rPr>
                <w:rFonts w:ascii="Times New Roman" w:eastAsia="Times New Roman" w:hAnsi="Times New Roman" w:cs="Times New Roman"/>
                <w:b/>
                <w:bCs/>
                <w:color w:val="000000"/>
                <w:kern w:val="0"/>
                <w:sz w:val="18"/>
                <w:szCs w:val="18"/>
                <w:lang w:eastAsia="pt-BR"/>
                <w14:ligatures w14:val="none"/>
              </w:rPr>
              <w:t>imbolo</w:t>
            </w:r>
            <w:proofErr w:type="spellEnd"/>
            <w:r>
              <w:rPr>
                <w:rFonts w:ascii="Times New Roman" w:eastAsia="Times New Roman" w:hAnsi="Times New Roman" w:cs="Times New Roman"/>
                <w:b/>
                <w:bCs/>
                <w:color w:val="000000"/>
                <w:kern w:val="0"/>
                <w:sz w:val="18"/>
                <w:szCs w:val="18"/>
                <w:lang w:eastAsia="pt-BR"/>
                <w14:ligatures w14:val="none"/>
              </w:rPr>
              <w:t xml:space="preserve"> da Equação 1</w:t>
            </w:r>
          </w:p>
        </w:tc>
        <w:tc>
          <w:tcPr>
            <w:tcW w:w="1082" w:type="pct"/>
            <w:gridSpan w:val="3"/>
            <w:tcBorders>
              <w:top w:val="single" w:sz="4" w:space="0" w:color="auto"/>
              <w:left w:val="nil"/>
              <w:bottom w:val="single" w:sz="4" w:space="0" w:color="auto"/>
              <w:right w:val="nil"/>
            </w:tcBorders>
            <w:shd w:val="clear" w:color="auto" w:fill="auto"/>
            <w:vAlign w:val="center"/>
            <w:hideMark/>
          </w:tcPr>
          <w:p w14:paraId="2F784DF3" w14:textId="77777777" w:rsidR="00AC32D5" w:rsidRPr="00C83685" w:rsidRDefault="00AC32D5" w:rsidP="003958C5">
            <w:pPr>
              <w:spacing w:after="0" w:line="240" w:lineRule="auto"/>
              <w:jc w:val="center"/>
              <w:rPr>
                <w:rFonts w:ascii="Times New Roman" w:eastAsia="Times New Roman" w:hAnsi="Times New Roman" w:cs="Times New Roman"/>
                <w:b/>
                <w:bCs/>
                <w:color w:val="000000"/>
                <w:kern w:val="0"/>
                <w:sz w:val="18"/>
                <w:szCs w:val="18"/>
                <w:lang w:eastAsia="pt-BR"/>
                <w14:ligatures w14:val="none"/>
              </w:rPr>
            </w:pPr>
            <w:r w:rsidRPr="00C83685">
              <w:rPr>
                <w:rFonts w:ascii="Times New Roman" w:eastAsia="Times New Roman" w:hAnsi="Times New Roman" w:cs="Times New Roman"/>
                <w:b/>
                <w:bCs/>
                <w:color w:val="000000"/>
                <w:kern w:val="0"/>
                <w:sz w:val="18"/>
                <w:szCs w:val="18"/>
                <w:lang w:eastAsia="pt-BR"/>
                <w14:ligatures w14:val="none"/>
              </w:rPr>
              <w:t>Fonte</w:t>
            </w:r>
          </w:p>
        </w:tc>
        <w:tc>
          <w:tcPr>
            <w:tcW w:w="938" w:type="pct"/>
            <w:gridSpan w:val="2"/>
            <w:tcBorders>
              <w:top w:val="single" w:sz="4" w:space="0" w:color="auto"/>
              <w:left w:val="nil"/>
              <w:bottom w:val="single" w:sz="4" w:space="0" w:color="auto"/>
              <w:right w:val="nil"/>
            </w:tcBorders>
            <w:shd w:val="clear" w:color="auto" w:fill="auto"/>
            <w:vAlign w:val="center"/>
            <w:hideMark/>
          </w:tcPr>
          <w:p w14:paraId="35533B52" w14:textId="77777777" w:rsidR="00AC32D5" w:rsidRPr="00C83685" w:rsidRDefault="00AC32D5" w:rsidP="003958C5">
            <w:pPr>
              <w:spacing w:after="0" w:line="240" w:lineRule="auto"/>
              <w:jc w:val="center"/>
              <w:rPr>
                <w:rFonts w:ascii="Times New Roman" w:eastAsia="Times New Roman" w:hAnsi="Times New Roman" w:cs="Times New Roman"/>
                <w:b/>
                <w:bCs/>
                <w:color w:val="000000"/>
                <w:kern w:val="0"/>
                <w:sz w:val="18"/>
                <w:szCs w:val="18"/>
                <w:lang w:eastAsia="pt-BR"/>
                <w14:ligatures w14:val="none"/>
              </w:rPr>
            </w:pPr>
            <w:r w:rsidRPr="00C83685">
              <w:rPr>
                <w:rFonts w:ascii="Times New Roman" w:eastAsia="Times New Roman" w:hAnsi="Times New Roman" w:cs="Times New Roman"/>
                <w:b/>
                <w:bCs/>
                <w:color w:val="000000"/>
                <w:kern w:val="0"/>
                <w:sz w:val="18"/>
                <w:szCs w:val="18"/>
                <w:lang w:eastAsia="pt-BR"/>
                <w14:ligatures w14:val="none"/>
              </w:rPr>
              <w:t>Referência na literatura</w:t>
            </w:r>
          </w:p>
        </w:tc>
      </w:tr>
      <w:tr w:rsidR="008A0C59" w:rsidRPr="00C83685" w14:paraId="253D85FC" w14:textId="77777777" w:rsidTr="00657EC8">
        <w:trPr>
          <w:gridAfter w:val="2"/>
          <w:wAfter w:w="54" w:type="pct"/>
          <w:trHeight w:val="69"/>
        </w:trPr>
        <w:tc>
          <w:tcPr>
            <w:tcW w:w="1016" w:type="pct"/>
            <w:tcBorders>
              <w:top w:val="single" w:sz="4" w:space="0" w:color="auto"/>
              <w:left w:val="nil"/>
              <w:bottom w:val="single" w:sz="4" w:space="0" w:color="auto"/>
              <w:right w:val="nil"/>
            </w:tcBorders>
            <w:shd w:val="clear" w:color="auto" w:fill="auto"/>
            <w:noWrap/>
            <w:vAlign w:val="center"/>
            <w:hideMark/>
          </w:tcPr>
          <w:p w14:paraId="0116C20F" w14:textId="78533E00" w:rsidR="00AC32D5" w:rsidRPr="00C83685" w:rsidRDefault="00AC32D5" w:rsidP="003958C5">
            <w:pPr>
              <w:spacing w:after="0" w:line="240" w:lineRule="auto"/>
              <w:rPr>
                <w:rFonts w:ascii="Times New Roman" w:eastAsia="Times New Roman" w:hAnsi="Times New Roman" w:cs="Times New Roman"/>
                <w:b/>
                <w:bCs/>
                <w:color w:val="000000"/>
                <w:kern w:val="0"/>
                <w:sz w:val="18"/>
                <w:szCs w:val="18"/>
                <w:lang w:eastAsia="pt-BR"/>
                <w14:ligatures w14:val="none"/>
              </w:rPr>
            </w:pPr>
            <w:r w:rsidRPr="00C83685">
              <w:rPr>
                <w:rFonts w:ascii="Times New Roman" w:eastAsia="Times New Roman" w:hAnsi="Times New Roman" w:cs="Times New Roman"/>
                <w:b/>
                <w:bCs/>
                <w:color w:val="000000"/>
                <w:kern w:val="0"/>
                <w:sz w:val="18"/>
                <w:szCs w:val="18"/>
                <w:lang w:eastAsia="pt-BR"/>
                <w14:ligatures w14:val="none"/>
              </w:rPr>
              <w:t>Variáve</w:t>
            </w:r>
            <w:r w:rsidR="00992A83">
              <w:rPr>
                <w:rFonts w:ascii="Times New Roman" w:eastAsia="Times New Roman" w:hAnsi="Times New Roman" w:cs="Times New Roman"/>
                <w:b/>
                <w:bCs/>
                <w:color w:val="000000"/>
                <w:kern w:val="0"/>
                <w:sz w:val="18"/>
                <w:szCs w:val="18"/>
                <w:lang w:eastAsia="pt-BR"/>
                <w14:ligatures w14:val="none"/>
              </w:rPr>
              <w:t>l</w:t>
            </w:r>
            <w:r w:rsidRPr="00C83685">
              <w:rPr>
                <w:rFonts w:ascii="Times New Roman" w:eastAsia="Times New Roman" w:hAnsi="Times New Roman" w:cs="Times New Roman"/>
                <w:b/>
                <w:bCs/>
                <w:color w:val="000000"/>
                <w:kern w:val="0"/>
                <w:sz w:val="18"/>
                <w:szCs w:val="18"/>
                <w:lang w:eastAsia="pt-BR"/>
                <w14:ligatures w14:val="none"/>
              </w:rPr>
              <w:t xml:space="preserve"> </w:t>
            </w:r>
            <w:r w:rsidR="000A3A17">
              <w:rPr>
                <w:rFonts w:ascii="Times New Roman" w:eastAsia="Times New Roman" w:hAnsi="Times New Roman" w:cs="Times New Roman"/>
                <w:b/>
                <w:bCs/>
                <w:color w:val="000000"/>
                <w:kern w:val="0"/>
                <w:sz w:val="18"/>
                <w:szCs w:val="18"/>
                <w:lang w:eastAsia="pt-BR"/>
                <w14:ligatures w14:val="none"/>
              </w:rPr>
              <w:t>dependente</w:t>
            </w:r>
          </w:p>
        </w:tc>
        <w:tc>
          <w:tcPr>
            <w:tcW w:w="1273" w:type="pct"/>
            <w:gridSpan w:val="2"/>
            <w:tcBorders>
              <w:top w:val="single" w:sz="4" w:space="0" w:color="auto"/>
              <w:left w:val="nil"/>
              <w:bottom w:val="single" w:sz="4" w:space="0" w:color="auto"/>
              <w:right w:val="nil"/>
            </w:tcBorders>
            <w:shd w:val="clear" w:color="auto" w:fill="auto"/>
            <w:vAlign w:val="center"/>
            <w:hideMark/>
          </w:tcPr>
          <w:p w14:paraId="611F5851" w14:textId="77777777" w:rsidR="00AC32D5" w:rsidRPr="00C83685" w:rsidRDefault="00AC32D5" w:rsidP="003958C5">
            <w:pPr>
              <w:spacing w:after="0" w:line="240" w:lineRule="auto"/>
              <w:rPr>
                <w:rFonts w:ascii="Times New Roman" w:eastAsia="Times New Roman" w:hAnsi="Times New Roman" w:cs="Times New Roman"/>
                <w:b/>
                <w:bCs/>
                <w:color w:val="000000"/>
                <w:kern w:val="0"/>
                <w:sz w:val="18"/>
                <w:szCs w:val="18"/>
                <w:lang w:eastAsia="pt-BR"/>
                <w14:ligatures w14:val="none"/>
              </w:rPr>
            </w:pPr>
          </w:p>
        </w:tc>
        <w:tc>
          <w:tcPr>
            <w:tcW w:w="637" w:type="pct"/>
            <w:gridSpan w:val="3"/>
            <w:tcBorders>
              <w:top w:val="single" w:sz="4" w:space="0" w:color="auto"/>
              <w:left w:val="nil"/>
              <w:bottom w:val="single" w:sz="4" w:space="0" w:color="auto"/>
              <w:right w:val="nil"/>
            </w:tcBorders>
            <w:shd w:val="clear" w:color="auto" w:fill="auto"/>
            <w:vAlign w:val="center"/>
            <w:hideMark/>
          </w:tcPr>
          <w:p w14:paraId="0A8C1557" w14:textId="77777777" w:rsidR="00AC32D5" w:rsidRPr="00C83685" w:rsidRDefault="00AC32D5" w:rsidP="003958C5">
            <w:pPr>
              <w:spacing w:after="0" w:line="240" w:lineRule="auto"/>
              <w:jc w:val="center"/>
              <w:rPr>
                <w:rFonts w:ascii="Times New Roman" w:eastAsia="Times New Roman" w:hAnsi="Times New Roman" w:cs="Times New Roman"/>
                <w:b/>
                <w:bCs/>
                <w:color w:val="000000"/>
                <w:kern w:val="0"/>
                <w:sz w:val="18"/>
                <w:szCs w:val="18"/>
                <w:lang w:eastAsia="pt-BR"/>
                <w14:ligatures w14:val="none"/>
              </w:rPr>
            </w:pPr>
          </w:p>
        </w:tc>
        <w:tc>
          <w:tcPr>
            <w:tcW w:w="1082" w:type="pct"/>
            <w:gridSpan w:val="3"/>
            <w:tcBorders>
              <w:top w:val="single" w:sz="4" w:space="0" w:color="auto"/>
              <w:left w:val="nil"/>
              <w:bottom w:val="single" w:sz="4" w:space="0" w:color="auto"/>
              <w:right w:val="nil"/>
            </w:tcBorders>
            <w:shd w:val="clear" w:color="auto" w:fill="auto"/>
            <w:vAlign w:val="center"/>
            <w:hideMark/>
          </w:tcPr>
          <w:p w14:paraId="3B1B577D" w14:textId="77777777" w:rsidR="00AC32D5" w:rsidRPr="00C83685" w:rsidRDefault="00AC32D5" w:rsidP="003958C5">
            <w:pPr>
              <w:spacing w:after="0" w:line="240" w:lineRule="auto"/>
              <w:jc w:val="center"/>
              <w:rPr>
                <w:rFonts w:ascii="Times New Roman" w:eastAsia="Times New Roman" w:hAnsi="Times New Roman" w:cs="Times New Roman"/>
                <w:b/>
                <w:bCs/>
                <w:color w:val="000000"/>
                <w:kern w:val="0"/>
                <w:sz w:val="18"/>
                <w:szCs w:val="18"/>
                <w:lang w:eastAsia="pt-BR"/>
                <w14:ligatures w14:val="none"/>
              </w:rPr>
            </w:pPr>
          </w:p>
        </w:tc>
        <w:tc>
          <w:tcPr>
            <w:tcW w:w="938" w:type="pct"/>
            <w:gridSpan w:val="2"/>
            <w:tcBorders>
              <w:top w:val="single" w:sz="4" w:space="0" w:color="auto"/>
              <w:left w:val="nil"/>
              <w:bottom w:val="single" w:sz="4" w:space="0" w:color="auto"/>
              <w:right w:val="nil"/>
            </w:tcBorders>
            <w:shd w:val="clear" w:color="auto" w:fill="auto"/>
            <w:vAlign w:val="center"/>
            <w:hideMark/>
          </w:tcPr>
          <w:p w14:paraId="22F828AF" w14:textId="77777777" w:rsidR="00AC32D5" w:rsidRPr="00C83685" w:rsidRDefault="00AC32D5" w:rsidP="003958C5">
            <w:pPr>
              <w:spacing w:after="0" w:line="240" w:lineRule="auto"/>
              <w:jc w:val="both"/>
              <w:rPr>
                <w:rFonts w:ascii="Times New Roman" w:eastAsia="Times New Roman" w:hAnsi="Times New Roman" w:cs="Times New Roman"/>
                <w:color w:val="000000"/>
                <w:kern w:val="0"/>
                <w:sz w:val="18"/>
                <w:szCs w:val="18"/>
                <w:lang w:eastAsia="pt-BR"/>
                <w14:ligatures w14:val="none"/>
              </w:rPr>
            </w:pPr>
          </w:p>
        </w:tc>
      </w:tr>
      <w:tr w:rsidR="008A0C59" w:rsidRPr="00C83685" w14:paraId="7AFC37E8" w14:textId="77777777" w:rsidTr="00657EC8">
        <w:trPr>
          <w:gridAfter w:val="2"/>
          <w:wAfter w:w="54" w:type="pct"/>
          <w:trHeight w:val="1477"/>
        </w:trPr>
        <w:tc>
          <w:tcPr>
            <w:tcW w:w="1016" w:type="pct"/>
            <w:tcBorders>
              <w:top w:val="single" w:sz="4" w:space="0" w:color="auto"/>
              <w:left w:val="nil"/>
              <w:bottom w:val="single" w:sz="4" w:space="0" w:color="auto"/>
              <w:right w:val="nil"/>
            </w:tcBorders>
            <w:shd w:val="clear" w:color="auto" w:fill="auto"/>
            <w:vAlign w:val="center"/>
            <w:hideMark/>
          </w:tcPr>
          <w:p w14:paraId="4449E82B" w14:textId="7B83187C" w:rsidR="00AC32D5" w:rsidRPr="00C83685" w:rsidRDefault="000A3C9A" w:rsidP="003958C5">
            <w:pPr>
              <w:spacing w:after="0" w:line="240" w:lineRule="auto"/>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Taxa de crescimento da renda per capita</w:t>
            </w:r>
          </w:p>
        </w:tc>
        <w:tc>
          <w:tcPr>
            <w:tcW w:w="1273" w:type="pct"/>
            <w:gridSpan w:val="2"/>
            <w:tcBorders>
              <w:top w:val="single" w:sz="4" w:space="0" w:color="auto"/>
              <w:left w:val="nil"/>
              <w:bottom w:val="single" w:sz="4" w:space="0" w:color="auto"/>
              <w:right w:val="nil"/>
            </w:tcBorders>
            <w:shd w:val="clear" w:color="auto" w:fill="auto"/>
            <w:vAlign w:val="center"/>
            <w:hideMark/>
          </w:tcPr>
          <w:p w14:paraId="12E87AAF" w14:textId="12644AB9" w:rsidR="00AC32D5" w:rsidRPr="00C83685" w:rsidRDefault="007B6362" w:rsidP="003958C5">
            <w:pPr>
              <w:spacing w:after="0" w:line="240" w:lineRule="auto"/>
              <w:jc w:val="both"/>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 xml:space="preserve">Logaritmo natural aplicado à divisão da renda per capita </w:t>
            </w:r>
            <w:r w:rsidR="001320C3">
              <w:rPr>
                <w:rFonts w:ascii="Times New Roman" w:eastAsia="Times New Roman" w:hAnsi="Times New Roman" w:cs="Times New Roman"/>
                <w:color w:val="000000"/>
                <w:kern w:val="0"/>
                <w:sz w:val="18"/>
                <w:szCs w:val="18"/>
                <w:lang w:eastAsia="pt-BR"/>
                <w14:ligatures w14:val="none"/>
              </w:rPr>
              <w:t>da AMC</w:t>
            </w:r>
            <w:r w:rsidR="007B7D48">
              <w:rPr>
                <w:rFonts w:ascii="Times New Roman" w:eastAsia="Times New Roman" w:hAnsi="Times New Roman" w:cs="Times New Roman"/>
                <w:color w:val="000000"/>
                <w:kern w:val="0"/>
                <w:sz w:val="18"/>
                <w:szCs w:val="18"/>
                <w:lang w:eastAsia="pt-BR"/>
                <w14:ligatures w14:val="none"/>
              </w:rPr>
              <w:t xml:space="preserve"> i</w:t>
            </w:r>
            <w:r w:rsidR="001320C3">
              <w:rPr>
                <w:rFonts w:ascii="Times New Roman" w:eastAsia="Times New Roman" w:hAnsi="Times New Roman" w:cs="Times New Roman"/>
                <w:color w:val="000000"/>
                <w:kern w:val="0"/>
                <w:sz w:val="18"/>
                <w:szCs w:val="18"/>
                <w:lang w:eastAsia="pt-BR"/>
                <w14:ligatures w14:val="none"/>
              </w:rPr>
              <w:t xml:space="preserve"> d</w:t>
            </w:r>
            <w:r w:rsidR="0094489F">
              <w:rPr>
                <w:rFonts w:ascii="Times New Roman" w:eastAsia="Times New Roman" w:hAnsi="Times New Roman" w:cs="Times New Roman"/>
                <w:color w:val="000000"/>
                <w:kern w:val="0"/>
                <w:sz w:val="18"/>
                <w:szCs w:val="18"/>
                <w:lang w:eastAsia="pt-BR"/>
                <w14:ligatures w14:val="none"/>
              </w:rPr>
              <w:t>e 2010 pela renda per capita da AMC</w:t>
            </w:r>
            <w:r w:rsidR="007B7D48">
              <w:rPr>
                <w:rFonts w:ascii="Times New Roman" w:eastAsia="Times New Roman" w:hAnsi="Times New Roman" w:cs="Times New Roman"/>
                <w:color w:val="000000"/>
                <w:kern w:val="0"/>
                <w:sz w:val="18"/>
                <w:szCs w:val="18"/>
                <w:lang w:eastAsia="pt-BR"/>
                <w14:ligatures w14:val="none"/>
              </w:rPr>
              <w:t xml:space="preserve"> i</w:t>
            </w:r>
            <w:r w:rsidR="0094489F">
              <w:rPr>
                <w:rFonts w:ascii="Times New Roman" w:eastAsia="Times New Roman" w:hAnsi="Times New Roman" w:cs="Times New Roman"/>
                <w:color w:val="000000"/>
                <w:kern w:val="0"/>
                <w:sz w:val="18"/>
                <w:szCs w:val="18"/>
                <w:lang w:eastAsia="pt-BR"/>
                <w14:ligatures w14:val="none"/>
              </w:rPr>
              <w:t xml:space="preserve"> de 2000</w:t>
            </w:r>
            <w:r w:rsidR="007B7D48">
              <w:rPr>
                <w:rFonts w:ascii="Times New Roman" w:eastAsia="Times New Roman" w:hAnsi="Times New Roman" w:cs="Times New Roman"/>
                <w:color w:val="000000"/>
                <w:kern w:val="0"/>
                <w:sz w:val="18"/>
                <w:szCs w:val="18"/>
                <w:lang w:eastAsia="pt-BR"/>
                <w14:ligatures w14:val="none"/>
              </w:rPr>
              <w:t>.</w:t>
            </w:r>
          </w:p>
        </w:tc>
        <w:tc>
          <w:tcPr>
            <w:tcW w:w="637" w:type="pct"/>
            <w:gridSpan w:val="3"/>
            <w:tcBorders>
              <w:top w:val="single" w:sz="4" w:space="0" w:color="auto"/>
              <w:left w:val="nil"/>
              <w:bottom w:val="single" w:sz="4" w:space="0" w:color="auto"/>
              <w:right w:val="nil"/>
            </w:tcBorders>
            <w:shd w:val="clear" w:color="auto" w:fill="auto"/>
            <w:vAlign w:val="center"/>
            <w:hideMark/>
          </w:tcPr>
          <w:p w14:paraId="3F53EEE5" w14:textId="59CDD047" w:rsidR="00AC32D5" w:rsidRPr="00C83685" w:rsidRDefault="00B918A4" w:rsidP="003958C5">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hAnsi="Cambria Math" w:cs="Times New Roman"/>
                    <w:sz w:val="24"/>
                    <w:szCs w:val="24"/>
                  </w:rPr>
                  <m:t>∆lny</m:t>
                </m:r>
              </m:oMath>
            </m:oMathPara>
          </w:p>
        </w:tc>
        <w:tc>
          <w:tcPr>
            <w:tcW w:w="1082" w:type="pct"/>
            <w:gridSpan w:val="3"/>
            <w:tcBorders>
              <w:top w:val="single" w:sz="4" w:space="0" w:color="auto"/>
              <w:left w:val="nil"/>
              <w:bottom w:val="single" w:sz="4" w:space="0" w:color="auto"/>
              <w:right w:val="nil"/>
            </w:tcBorders>
            <w:shd w:val="clear" w:color="auto" w:fill="auto"/>
            <w:vAlign w:val="center"/>
            <w:hideMark/>
          </w:tcPr>
          <w:p w14:paraId="1200A96D" w14:textId="714050CA" w:rsidR="00AC32D5" w:rsidRPr="00C83685" w:rsidRDefault="00213454" w:rsidP="003958C5">
            <w:pPr>
              <w:spacing w:after="0" w:line="240" w:lineRule="auto"/>
              <w:jc w:val="center"/>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Censos Demográficos/IBGE</w:t>
            </w:r>
          </w:p>
        </w:tc>
        <w:tc>
          <w:tcPr>
            <w:tcW w:w="938" w:type="pct"/>
            <w:gridSpan w:val="2"/>
            <w:tcBorders>
              <w:top w:val="single" w:sz="4" w:space="0" w:color="auto"/>
              <w:left w:val="nil"/>
              <w:bottom w:val="single" w:sz="4" w:space="0" w:color="auto"/>
              <w:right w:val="nil"/>
            </w:tcBorders>
            <w:shd w:val="clear" w:color="auto" w:fill="auto"/>
            <w:vAlign w:val="center"/>
            <w:hideMark/>
          </w:tcPr>
          <w:p w14:paraId="3E707318" w14:textId="1C2B5CE0" w:rsidR="00AC32D5" w:rsidRPr="008A0C59" w:rsidRDefault="007B7D48" w:rsidP="003958C5">
            <w:pPr>
              <w:spacing w:after="0" w:line="240" w:lineRule="auto"/>
              <w:jc w:val="both"/>
              <w:rPr>
                <w:rFonts w:ascii="Times New Roman" w:eastAsia="Times New Roman" w:hAnsi="Times New Roman" w:cs="Times New Roman"/>
                <w:kern w:val="0"/>
                <w:sz w:val="18"/>
                <w:szCs w:val="18"/>
                <w:lang w:eastAsia="pt-BR"/>
                <w14:ligatures w14:val="none"/>
              </w:rPr>
            </w:pPr>
            <w:proofErr w:type="spellStart"/>
            <w:r w:rsidRPr="008A0C59">
              <w:rPr>
                <w:rFonts w:ascii="Times New Roman" w:eastAsia="Times New Roman" w:hAnsi="Times New Roman" w:cs="Times New Roman"/>
                <w:kern w:val="0"/>
                <w:sz w:val="18"/>
                <w:szCs w:val="18"/>
                <w:lang w:eastAsia="pt-BR"/>
                <w14:ligatures w14:val="none"/>
              </w:rPr>
              <w:t>Baerlocher</w:t>
            </w:r>
            <w:proofErr w:type="spellEnd"/>
            <w:r w:rsidRPr="008A0C59">
              <w:rPr>
                <w:rFonts w:ascii="Times New Roman" w:eastAsia="Times New Roman" w:hAnsi="Times New Roman" w:cs="Times New Roman"/>
                <w:kern w:val="0"/>
                <w:sz w:val="18"/>
                <w:szCs w:val="18"/>
                <w:lang w:eastAsia="pt-BR"/>
                <w14:ligatures w14:val="none"/>
              </w:rPr>
              <w:t xml:space="preserve"> et al. (2019)</w:t>
            </w:r>
            <w:r w:rsidR="008A0C59" w:rsidRPr="008A0C59">
              <w:rPr>
                <w:rFonts w:ascii="Times New Roman" w:eastAsia="Times New Roman" w:hAnsi="Times New Roman" w:cs="Times New Roman"/>
                <w:kern w:val="0"/>
                <w:sz w:val="18"/>
                <w:szCs w:val="18"/>
                <w:lang w:eastAsia="pt-BR"/>
                <w14:ligatures w14:val="none"/>
              </w:rPr>
              <w:t xml:space="preserve"> e </w:t>
            </w:r>
            <w:proofErr w:type="spellStart"/>
            <w:r w:rsidR="008A0C59" w:rsidRPr="008A0C59">
              <w:rPr>
                <w:rFonts w:ascii="Times New Roman" w:eastAsia="Times New Roman" w:hAnsi="Times New Roman" w:cs="Times New Roman"/>
                <w:kern w:val="0"/>
                <w:sz w:val="18"/>
                <w:szCs w:val="18"/>
                <w:lang w:eastAsia="pt-BR"/>
                <w14:ligatures w14:val="none"/>
              </w:rPr>
              <w:t>C</w:t>
            </w:r>
            <w:r w:rsidR="008A0C59">
              <w:rPr>
                <w:rFonts w:ascii="Times New Roman" w:eastAsia="Times New Roman" w:hAnsi="Times New Roman" w:cs="Times New Roman"/>
                <w:kern w:val="0"/>
                <w:sz w:val="18"/>
                <w:szCs w:val="18"/>
                <w:lang w:eastAsia="pt-BR"/>
                <w14:ligatures w14:val="none"/>
              </w:rPr>
              <w:t>uaresma</w:t>
            </w:r>
            <w:proofErr w:type="spellEnd"/>
            <w:r w:rsidR="008A0C59">
              <w:rPr>
                <w:rFonts w:ascii="Times New Roman" w:eastAsia="Times New Roman" w:hAnsi="Times New Roman" w:cs="Times New Roman"/>
                <w:kern w:val="0"/>
                <w:sz w:val="18"/>
                <w:szCs w:val="18"/>
                <w:lang w:eastAsia="pt-BR"/>
                <w14:ligatures w14:val="none"/>
              </w:rPr>
              <w:t xml:space="preserve"> et al. (2014).</w:t>
            </w:r>
          </w:p>
        </w:tc>
      </w:tr>
      <w:tr w:rsidR="008A0C59" w:rsidRPr="00C83685" w14:paraId="6BE93A15" w14:textId="77777777" w:rsidTr="00657EC8">
        <w:trPr>
          <w:gridAfter w:val="2"/>
          <w:wAfter w:w="54" w:type="pct"/>
          <w:trHeight w:val="290"/>
        </w:trPr>
        <w:tc>
          <w:tcPr>
            <w:tcW w:w="2289" w:type="pct"/>
            <w:gridSpan w:val="3"/>
            <w:tcBorders>
              <w:top w:val="single" w:sz="4" w:space="0" w:color="auto"/>
              <w:left w:val="nil"/>
              <w:bottom w:val="single" w:sz="4" w:space="0" w:color="auto"/>
              <w:right w:val="nil"/>
            </w:tcBorders>
            <w:shd w:val="clear" w:color="auto" w:fill="auto"/>
            <w:noWrap/>
            <w:vAlign w:val="center"/>
            <w:hideMark/>
          </w:tcPr>
          <w:p w14:paraId="63F4C50A" w14:textId="6465A514" w:rsidR="00AC32D5" w:rsidRPr="00C83685" w:rsidRDefault="00031DB2" w:rsidP="003958C5">
            <w:pPr>
              <w:spacing w:after="0" w:line="240" w:lineRule="auto"/>
              <w:jc w:val="both"/>
              <w:rPr>
                <w:rFonts w:ascii="Times New Roman" w:eastAsia="Times New Roman" w:hAnsi="Times New Roman" w:cs="Times New Roman"/>
                <w:b/>
                <w:bCs/>
                <w:color w:val="000000"/>
                <w:kern w:val="0"/>
                <w:sz w:val="18"/>
                <w:szCs w:val="18"/>
                <w:lang w:eastAsia="pt-BR"/>
                <w14:ligatures w14:val="none"/>
              </w:rPr>
            </w:pPr>
            <w:proofErr w:type="spellStart"/>
            <w:r>
              <w:rPr>
                <w:rFonts w:ascii="Times New Roman" w:eastAsia="Times New Roman" w:hAnsi="Times New Roman" w:cs="Times New Roman"/>
                <w:b/>
                <w:bCs/>
                <w:color w:val="000000"/>
                <w:kern w:val="0"/>
                <w:sz w:val="18"/>
                <w:szCs w:val="18"/>
                <w:lang w:eastAsia="pt-BR"/>
                <w14:ligatures w14:val="none"/>
              </w:rPr>
              <w:t>Covariadas</w:t>
            </w:r>
            <w:proofErr w:type="spellEnd"/>
            <w:r w:rsidR="00544BDA">
              <w:rPr>
                <w:rFonts w:ascii="Times New Roman" w:eastAsia="Times New Roman" w:hAnsi="Times New Roman" w:cs="Times New Roman"/>
                <w:b/>
                <w:bCs/>
                <w:color w:val="000000"/>
                <w:kern w:val="0"/>
                <w:sz w:val="18"/>
                <w:szCs w:val="18"/>
                <w:lang w:eastAsia="pt-BR"/>
                <w14:ligatures w14:val="none"/>
              </w:rPr>
              <w:t xml:space="preserve"> </w:t>
            </w:r>
            <w:r w:rsidR="008A0C59">
              <w:rPr>
                <w:rFonts w:ascii="Times New Roman" w:eastAsia="Times New Roman" w:hAnsi="Times New Roman" w:cs="Times New Roman"/>
                <w:b/>
                <w:bCs/>
                <w:color w:val="000000"/>
                <w:kern w:val="0"/>
                <w:sz w:val="18"/>
                <w:szCs w:val="18"/>
                <w:lang w:eastAsia="pt-BR"/>
                <w14:ligatures w14:val="none"/>
              </w:rPr>
              <w:t>associadas a economia e mercado de trabalho</w:t>
            </w:r>
          </w:p>
        </w:tc>
        <w:tc>
          <w:tcPr>
            <w:tcW w:w="637" w:type="pct"/>
            <w:gridSpan w:val="3"/>
            <w:tcBorders>
              <w:top w:val="single" w:sz="4" w:space="0" w:color="auto"/>
              <w:left w:val="nil"/>
              <w:bottom w:val="single" w:sz="4" w:space="0" w:color="auto"/>
              <w:right w:val="nil"/>
            </w:tcBorders>
            <w:shd w:val="clear" w:color="auto" w:fill="auto"/>
            <w:noWrap/>
            <w:vAlign w:val="center"/>
            <w:hideMark/>
          </w:tcPr>
          <w:p w14:paraId="403808D1" w14:textId="77777777" w:rsidR="00AC32D5" w:rsidRPr="00C83685" w:rsidRDefault="00AC32D5" w:rsidP="008A0C59">
            <w:pPr>
              <w:spacing w:after="0" w:line="240" w:lineRule="auto"/>
              <w:ind w:left="-75"/>
              <w:jc w:val="center"/>
              <w:rPr>
                <w:rFonts w:ascii="Times New Roman" w:eastAsia="Times New Roman" w:hAnsi="Times New Roman" w:cs="Times New Roman"/>
                <w:b/>
                <w:bCs/>
                <w:color w:val="000000"/>
                <w:kern w:val="0"/>
                <w:sz w:val="18"/>
                <w:szCs w:val="18"/>
                <w:lang w:eastAsia="pt-BR"/>
                <w14:ligatures w14:val="none"/>
              </w:rPr>
            </w:pPr>
          </w:p>
        </w:tc>
        <w:tc>
          <w:tcPr>
            <w:tcW w:w="1082" w:type="pct"/>
            <w:gridSpan w:val="3"/>
            <w:tcBorders>
              <w:top w:val="single" w:sz="4" w:space="0" w:color="auto"/>
              <w:left w:val="nil"/>
              <w:bottom w:val="single" w:sz="4" w:space="0" w:color="auto"/>
              <w:right w:val="nil"/>
            </w:tcBorders>
            <w:shd w:val="clear" w:color="auto" w:fill="auto"/>
            <w:noWrap/>
            <w:vAlign w:val="center"/>
            <w:hideMark/>
          </w:tcPr>
          <w:p w14:paraId="40B72141" w14:textId="77777777" w:rsidR="00AC32D5" w:rsidRPr="00C83685" w:rsidRDefault="00AC32D5" w:rsidP="003958C5">
            <w:pPr>
              <w:spacing w:after="0" w:line="240" w:lineRule="auto"/>
              <w:jc w:val="center"/>
              <w:rPr>
                <w:rFonts w:ascii="Times New Roman" w:eastAsia="Times New Roman" w:hAnsi="Times New Roman" w:cs="Times New Roman"/>
                <w:b/>
                <w:bCs/>
                <w:color w:val="000000"/>
                <w:kern w:val="0"/>
                <w:sz w:val="18"/>
                <w:szCs w:val="18"/>
                <w:lang w:eastAsia="pt-BR"/>
                <w14:ligatures w14:val="none"/>
              </w:rPr>
            </w:pPr>
          </w:p>
        </w:tc>
        <w:tc>
          <w:tcPr>
            <w:tcW w:w="938" w:type="pct"/>
            <w:gridSpan w:val="2"/>
            <w:tcBorders>
              <w:top w:val="single" w:sz="4" w:space="0" w:color="auto"/>
              <w:left w:val="nil"/>
              <w:bottom w:val="single" w:sz="4" w:space="0" w:color="auto"/>
              <w:right w:val="nil"/>
            </w:tcBorders>
            <w:shd w:val="clear" w:color="auto" w:fill="auto"/>
            <w:noWrap/>
            <w:vAlign w:val="center"/>
            <w:hideMark/>
          </w:tcPr>
          <w:p w14:paraId="4C838099" w14:textId="77777777" w:rsidR="00AC32D5" w:rsidRPr="00C83685" w:rsidRDefault="00AC32D5" w:rsidP="003958C5">
            <w:pPr>
              <w:spacing w:after="0" w:line="240" w:lineRule="auto"/>
              <w:jc w:val="both"/>
              <w:rPr>
                <w:rFonts w:ascii="Times New Roman" w:eastAsia="Times New Roman" w:hAnsi="Times New Roman" w:cs="Times New Roman"/>
                <w:b/>
                <w:bCs/>
                <w:color w:val="000000"/>
                <w:kern w:val="0"/>
                <w:sz w:val="18"/>
                <w:szCs w:val="18"/>
                <w:lang w:eastAsia="pt-BR"/>
                <w14:ligatures w14:val="none"/>
              </w:rPr>
            </w:pPr>
          </w:p>
        </w:tc>
      </w:tr>
      <w:tr w:rsidR="000545EE" w:rsidRPr="000545EE" w14:paraId="4748F4C1" w14:textId="77777777" w:rsidTr="00657EC8">
        <w:trPr>
          <w:gridAfter w:val="2"/>
          <w:wAfter w:w="54" w:type="pct"/>
          <w:trHeight w:val="509"/>
        </w:trPr>
        <w:tc>
          <w:tcPr>
            <w:tcW w:w="1016" w:type="pct"/>
            <w:tcBorders>
              <w:top w:val="nil"/>
              <w:left w:val="nil"/>
              <w:bottom w:val="nil"/>
              <w:right w:val="nil"/>
            </w:tcBorders>
            <w:shd w:val="clear" w:color="auto" w:fill="auto"/>
            <w:vAlign w:val="center"/>
            <w:hideMark/>
          </w:tcPr>
          <w:p w14:paraId="6D6622EC" w14:textId="17F0B1F9" w:rsidR="00213454" w:rsidRPr="00C83685" w:rsidRDefault="00213454" w:rsidP="00213454">
            <w:pPr>
              <w:spacing w:after="0" w:line="240" w:lineRule="auto"/>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Renda per capita</w:t>
            </w:r>
          </w:p>
        </w:tc>
        <w:tc>
          <w:tcPr>
            <w:tcW w:w="1273" w:type="pct"/>
            <w:gridSpan w:val="2"/>
            <w:tcBorders>
              <w:top w:val="nil"/>
              <w:left w:val="nil"/>
              <w:bottom w:val="nil"/>
              <w:right w:val="nil"/>
            </w:tcBorders>
            <w:shd w:val="clear" w:color="auto" w:fill="auto"/>
            <w:vAlign w:val="center"/>
            <w:hideMark/>
          </w:tcPr>
          <w:p w14:paraId="0256BC23" w14:textId="430A360D" w:rsidR="00213454" w:rsidRPr="00C83685" w:rsidRDefault="007B6362" w:rsidP="00213454">
            <w:pPr>
              <w:spacing w:after="0" w:line="240" w:lineRule="auto"/>
              <w:jc w:val="both"/>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Logaritmo natural da renda per capita</w:t>
            </w:r>
            <w:r w:rsidR="00272D64">
              <w:rPr>
                <w:rFonts w:ascii="Times New Roman" w:eastAsia="Times New Roman" w:hAnsi="Times New Roman" w:cs="Times New Roman"/>
                <w:color w:val="000000"/>
                <w:kern w:val="0"/>
                <w:sz w:val="18"/>
                <w:szCs w:val="18"/>
                <w:lang w:eastAsia="pt-BR"/>
                <w14:ligatures w14:val="none"/>
              </w:rPr>
              <w:t>.</w:t>
            </w:r>
          </w:p>
        </w:tc>
        <w:tc>
          <w:tcPr>
            <w:tcW w:w="637" w:type="pct"/>
            <w:gridSpan w:val="3"/>
            <w:tcBorders>
              <w:top w:val="nil"/>
              <w:left w:val="nil"/>
              <w:bottom w:val="nil"/>
              <w:right w:val="nil"/>
            </w:tcBorders>
            <w:shd w:val="clear" w:color="auto" w:fill="auto"/>
            <w:vAlign w:val="center"/>
            <w:hideMark/>
          </w:tcPr>
          <w:p w14:paraId="3D313210" w14:textId="3B7A7217" w:rsidR="00213454" w:rsidRPr="00C83685" w:rsidRDefault="00450882" w:rsidP="00213454">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hAnsi="Cambria Math"/>
                  </w:rPr>
                  <m:t>lny</m:t>
                </m:r>
              </m:oMath>
            </m:oMathPara>
          </w:p>
        </w:tc>
        <w:tc>
          <w:tcPr>
            <w:tcW w:w="1082" w:type="pct"/>
            <w:gridSpan w:val="3"/>
            <w:tcBorders>
              <w:top w:val="nil"/>
              <w:left w:val="nil"/>
              <w:bottom w:val="nil"/>
              <w:right w:val="nil"/>
            </w:tcBorders>
            <w:shd w:val="clear" w:color="auto" w:fill="auto"/>
            <w:vAlign w:val="center"/>
            <w:hideMark/>
          </w:tcPr>
          <w:p w14:paraId="235A5F8A" w14:textId="1C13F63F" w:rsidR="00213454" w:rsidRPr="00C83685" w:rsidRDefault="008A6375" w:rsidP="00213454">
            <w:pPr>
              <w:spacing w:after="0" w:line="240" w:lineRule="auto"/>
              <w:jc w:val="center"/>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 xml:space="preserve">Microdados dos </w:t>
            </w:r>
            <w:r w:rsidR="00213454">
              <w:rPr>
                <w:rFonts w:ascii="Times New Roman" w:eastAsia="Times New Roman" w:hAnsi="Times New Roman" w:cs="Times New Roman"/>
                <w:color w:val="000000"/>
                <w:kern w:val="0"/>
                <w:sz w:val="18"/>
                <w:szCs w:val="18"/>
                <w:lang w:eastAsia="pt-BR"/>
                <w14:ligatures w14:val="none"/>
              </w:rPr>
              <w:t>Censos Demográficos/IBGE</w:t>
            </w:r>
          </w:p>
        </w:tc>
        <w:tc>
          <w:tcPr>
            <w:tcW w:w="938" w:type="pct"/>
            <w:gridSpan w:val="2"/>
            <w:tcBorders>
              <w:top w:val="nil"/>
              <w:left w:val="nil"/>
              <w:bottom w:val="nil"/>
              <w:right w:val="nil"/>
            </w:tcBorders>
            <w:shd w:val="clear" w:color="auto" w:fill="auto"/>
            <w:vAlign w:val="center"/>
            <w:hideMark/>
          </w:tcPr>
          <w:p w14:paraId="5D0FEECC" w14:textId="142818C1" w:rsidR="00213454" w:rsidRPr="000545EE" w:rsidRDefault="000545EE" w:rsidP="00213454">
            <w:pPr>
              <w:spacing w:after="0" w:line="240" w:lineRule="auto"/>
              <w:jc w:val="both"/>
              <w:rPr>
                <w:rFonts w:ascii="Times New Roman" w:eastAsia="Times New Roman" w:hAnsi="Times New Roman" w:cs="Times New Roman"/>
                <w:kern w:val="0"/>
                <w:sz w:val="18"/>
                <w:szCs w:val="18"/>
                <w:lang w:val="en-US" w:eastAsia="pt-BR"/>
                <w14:ligatures w14:val="none"/>
              </w:rPr>
            </w:pPr>
            <w:r w:rsidRPr="000545EE">
              <w:rPr>
                <w:rFonts w:ascii="Times New Roman" w:eastAsiaTheme="minorEastAsia" w:hAnsi="Times New Roman" w:cs="Times New Roman"/>
                <w:noProof/>
                <w:sz w:val="18"/>
                <w:szCs w:val="18"/>
              </w:rPr>
              <w:t xml:space="preserve">Baumol </w:t>
            </w:r>
            <w:r>
              <w:rPr>
                <w:rFonts w:ascii="Times New Roman" w:eastAsiaTheme="minorEastAsia" w:hAnsi="Times New Roman" w:cs="Times New Roman"/>
                <w:noProof/>
                <w:sz w:val="18"/>
                <w:szCs w:val="18"/>
              </w:rPr>
              <w:t>(</w:t>
            </w:r>
            <w:r w:rsidRPr="000545EE">
              <w:rPr>
                <w:rFonts w:ascii="Times New Roman" w:eastAsiaTheme="minorEastAsia" w:hAnsi="Times New Roman" w:cs="Times New Roman"/>
                <w:noProof/>
                <w:sz w:val="18"/>
                <w:szCs w:val="18"/>
              </w:rPr>
              <w:t>1986)</w:t>
            </w:r>
            <w:r w:rsidRPr="000545EE">
              <w:rPr>
                <w:rFonts w:ascii="Times New Roman" w:eastAsiaTheme="minorEastAsia" w:hAnsi="Times New Roman" w:cs="Times New Roman"/>
                <w:noProof/>
                <w:sz w:val="18"/>
                <w:szCs w:val="18"/>
              </w:rPr>
              <w:t xml:space="preserve">, </w:t>
            </w:r>
            <w:proofErr w:type="spellStart"/>
            <w:r w:rsidR="00CE3665" w:rsidRPr="000545EE">
              <w:rPr>
                <w:rFonts w:ascii="Times New Roman" w:eastAsia="Times New Roman" w:hAnsi="Times New Roman" w:cs="Times New Roman"/>
                <w:kern w:val="0"/>
                <w:sz w:val="18"/>
                <w:szCs w:val="18"/>
                <w:lang w:eastAsia="pt-BR"/>
                <w14:ligatures w14:val="none"/>
              </w:rPr>
              <w:t>Baerlocher</w:t>
            </w:r>
            <w:proofErr w:type="spellEnd"/>
            <w:r w:rsidR="00CE3665" w:rsidRPr="000545EE">
              <w:rPr>
                <w:rFonts w:ascii="Times New Roman" w:eastAsia="Times New Roman" w:hAnsi="Times New Roman" w:cs="Times New Roman"/>
                <w:kern w:val="0"/>
                <w:sz w:val="18"/>
                <w:szCs w:val="18"/>
                <w:lang w:eastAsia="pt-BR"/>
                <w14:ligatures w14:val="none"/>
              </w:rPr>
              <w:t xml:space="preserve"> et al. (2019)</w:t>
            </w:r>
            <w:r w:rsidR="008A0C59" w:rsidRPr="000545EE">
              <w:rPr>
                <w:rFonts w:ascii="Times New Roman" w:eastAsia="Times New Roman" w:hAnsi="Times New Roman" w:cs="Times New Roman"/>
                <w:kern w:val="0"/>
                <w:sz w:val="18"/>
                <w:szCs w:val="18"/>
                <w:lang w:eastAsia="pt-BR"/>
                <w14:ligatures w14:val="none"/>
              </w:rPr>
              <w:t xml:space="preserve"> e </w:t>
            </w:r>
            <w:proofErr w:type="spellStart"/>
            <w:r w:rsidR="008A0C59" w:rsidRPr="000545EE">
              <w:rPr>
                <w:rFonts w:ascii="Times New Roman" w:eastAsia="Times New Roman" w:hAnsi="Times New Roman" w:cs="Times New Roman"/>
                <w:kern w:val="0"/>
                <w:sz w:val="18"/>
                <w:szCs w:val="18"/>
                <w:lang w:eastAsia="pt-BR"/>
                <w14:ligatures w14:val="none"/>
              </w:rPr>
              <w:t>Cuaresma</w:t>
            </w:r>
            <w:proofErr w:type="spellEnd"/>
            <w:r w:rsidR="008A0C59" w:rsidRPr="000545EE">
              <w:rPr>
                <w:rFonts w:ascii="Times New Roman" w:eastAsia="Times New Roman" w:hAnsi="Times New Roman" w:cs="Times New Roman"/>
                <w:kern w:val="0"/>
                <w:sz w:val="18"/>
                <w:szCs w:val="18"/>
                <w:lang w:eastAsia="pt-BR"/>
                <w14:ligatures w14:val="none"/>
              </w:rPr>
              <w:t xml:space="preserve"> et al. (2014).</w:t>
            </w:r>
          </w:p>
        </w:tc>
      </w:tr>
      <w:tr w:rsidR="008A0C59" w:rsidRPr="00156C3A" w14:paraId="36B1DDCD" w14:textId="77777777" w:rsidTr="00657EC8">
        <w:trPr>
          <w:gridAfter w:val="2"/>
          <w:wAfter w:w="54" w:type="pct"/>
          <w:trHeight w:val="509"/>
        </w:trPr>
        <w:tc>
          <w:tcPr>
            <w:tcW w:w="1016" w:type="pct"/>
            <w:tcBorders>
              <w:top w:val="nil"/>
              <w:left w:val="nil"/>
              <w:bottom w:val="nil"/>
              <w:right w:val="nil"/>
            </w:tcBorders>
            <w:shd w:val="clear" w:color="auto" w:fill="auto"/>
            <w:vAlign w:val="center"/>
          </w:tcPr>
          <w:p w14:paraId="2896A559" w14:textId="4E4CF865" w:rsidR="008A0C59" w:rsidRDefault="008A0C59" w:rsidP="008A0C59">
            <w:pPr>
              <w:spacing w:after="0" w:line="240" w:lineRule="auto"/>
              <w:rPr>
                <w:rFonts w:ascii="Times New Roman" w:eastAsia="Times New Roman" w:hAnsi="Times New Roman" w:cs="Times New Roman"/>
                <w:color w:val="000000"/>
                <w:kern w:val="0"/>
                <w:sz w:val="18"/>
                <w:szCs w:val="18"/>
                <w:lang w:eastAsia="pt-BR"/>
                <w14:ligatures w14:val="none"/>
              </w:rPr>
            </w:pPr>
            <w:r w:rsidRPr="00C83685">
              <w:rPr>
                <w:rFonts w:ascii="Times New Roman" w:eastAsia="Times New Roman" w:hAnsi="Times New Roman" w:cs="Times New Roman"/>
                <w:color w:val="000000"/>
                <w:kern w:val="0"/>
                <w:sz w:val="18"/>
                <w:szCs w:val="18"/>
                <w:lang w:eastAsia="pt-BR"/>
                <w14:ligatures w14:val="none"/>
              </w:rPr>
              <w:t>P</w:t>
            </w:r>
            <w:r>
              <w:rPr>
                <w:rFonts w:ascii="Times New Roman" w:eastAsia="Times New Roman" w:hAnsi="Times New Roman" w:cs="Times New Roman"/>
                <w:color w:val="000000"/>
                <w:kern w:val="0"/>
                <w:sz w:val="18"/>
                <w:szCs w:val="18"/>
                <w:lang w:eastAsia="pt-BR"/>
                <w14:ligatures w14:val="none"/>
              </w:rPr>
              <w:t>articipação da força de trabalho</w:t>
            </w:r>
          </w:p>
        </w:tc>
        <w:tc>
          <w:tcPr>
            <w:tcW w:w="1273" w:type="pct"/>
            <w:gridSpan w:val="2"/>
            <w:tcBorders>
              <w:top w:val="nil"/>
              <w:left w:val="nil"/>
              <w:bottom w:val="nil"/>
              <w:right w:val="nil"/>
            </w:tcBorders>
            <w:shd w:val="clear" w:color="auto" w:fill="auto"/>
            <w:vAlign w:val="center"/>
          </w:tcPr>
          <w:p w14:paraId="36520F57" w14:textId="6F4EED31" w:rsidR="008A0C59" w:rsidRDefault="008A0C59" w:rsidP="008A0C59">
            <w:pPr>
              <w:spacing w:after="0" w:line="240" w:lineRule="auto"/>
              <w:jc w:val="both"/>
              <w:rPr>
                <w:rFonts w:ascii="Times New Roman" w:eastAsia="Times New Roman" w:hAnsi="Times New Roman" w:cs="Times New Roman"/>
                <w:color w:val="000000"/>
                <w:kern w:val="0"/>
                <w:sz w:val="18"/>
                <w:szCs w:val="18"/>
                <w:lang w:eastAsia="pt-BR"/>
                <w14:ligatures w14:val="none"/>
              </w:rPr>
            </w:pPr>
            <w:r w:rsidRPr="00E540CB">
              <w:rPr>
                <w:rFonts w:ascii="Times New Roman" w:eastAsia="Times New Roman" w:hAnsi="Times New Roman" w:cs="Times New Roman"/>
                <w:color w:val="000000"/>
                <w:kern w:val="0"/>
                <w:sz w:val="18"/>
                <w:szCs w:val="18"/>
                <w:lang w:eastAsia="pt-BR"/>
                <w14:ligatures w14:val="none"/>
              </w:rPr>
              <w:t>Logaritmo natural aplicado à divisão da PEA</w:t>
            </w:r>
            <w:r>
              <w:rPr>
                <w:rFonts w:ascii="Times New Roman" w:eastAsia="Times New Roman" w:hAnsi="Times New Roman" w:cs="Times New Roman"/>
                <w:color w:val="000000"/>
                <w:kern w:val="0"/>
                <w:sz w:val="18"/>
                <w:szCs w:val="18"/>
                <w:lang w:eastAsia="pt-BR"/>
                <w14:ligatures w14:val="none"/>
              </w:rPr>
              <w:t xml:space="preserve"> (População Economicamente Ativa)</w:t>
            </w:r>
            <w:r w:rsidRPr="00E540CB">
              <w:rPr>
                <w:rFonts w:ascii="Times New Roman" w:eastAsia="Times New Roman" w:hAnsi="Times New Roman" w:cs="Times New Roman"/>
                <w:color w:val="000000"/>
                <w:kern w:val="0"/>
                <w:sz w:val="18"/>
                <w:szCs w:val="18"/>
                <w:lang w:eastAsia="pt-BR"/>
                <w14:ligatures w14:val="none"/>
              </w:rPr>
              <w:t xml:space="preserve"> pela PIA</w:t>
            </w:r>
            <w:r>
              <w:rPr>
                <w:rFonts w:ascii="Times New Roman" w:eastAsia="Times New Roman" w:hAnsi="Times New Roman" w:cs="Times New Roman"/>
                <w:color w:val="000000"/>
                <w:kern w:val="0"/>
                <w:sz w:val="18"/>
                <w:szCs w:val="18"/>
                <w:lang w:eastAsia="pt-BR"/>
                <w14:ligatures w14:val="none"/>
              </w:rPr>
              <w:t xml:space="preserve"> (População em Idade Ativa)</w:t>
            </w:r>
          </w:p>
        </w:tc>
        <w:tc>
          <w:tcPr>
            <w:tcW w:w="637" w:type="pct"/>
            <w:gridSpan w:val="3"/>
            <w:tcBorders>
              <w:top w:val="nil"/>
              <w:left w:val="nil"/>
              <w:bottom w:val="nil"/>
              <w:right w:val="nil"/>
            </w:tcBorders>
            <w:shd w:val="clear" w:color="auto" w:fill="auto"/>
            <w:vAlign w:val="center"/>
          </w:tcPr>
          <w:p w14:paraId="05234571" w14:textId="79C0ACC2" w:rsidR="008A0C59" w:rsidRDefault="001651A0"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hAnsi="Cambria Math"/>
                  </w:rPr>
                  <m:t>∆pea</m:t>
                </m:r>
              </m:oMath>
            </m:oMathPara>
          </w:p>
        </w:tc>
        <w:tc>
          <w:tcPr>
            <w:tcW w:w="1082" w:type="pct"/>
            <w:gridSpan w:val="3"/>
            <w:tcBorders>
              <w:top w:val="nil"/>
              <w:left w:val="nil"/>
              <w:bottom w:val="nil"/>
              <w:right w:val="nil"/>
            </w:tcBorders>
            <w:shd w:val="clear" w:color="auto" w:fill="auto"/>
            <w:vAlign w:val="center"/>
          </w:tcPr>
          <w:p w14:paraId="352BA272" w14:textId="4C70E027" w:rsidR="008A0C59"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Microdados dos Censos Demográficos/IBGE</w:t>
            </w:r>
          </w:p>
        </w:tc>
        <w:tc>
          <w:tcPr>
            <w:tcW w:w="938" w:type="pct"/>
            <w:gridSpan w:val="2"/>
            <w:tcBorders>
              <w:top w:val="nil"/>
              <w:left w:val="nil"/>
              <w:bottom w:val="nil"/>
              <w:right w:val="nil"/>
            </w:tcBorders>
            <w:shd w:val="clear" w:color="auto" w:fill="auto"/>
            <w:vAlign w:val="center"/>
          </w:tcPr>
          <w:p w14:paraId="6603B133" w14:textId="31ED40C5" w:rsidR="008A0C59" w:rsidRPr="008A0C59" w:rsidRDefault="008A0C59" w:rsidP="008A0C59">
            <w:pPr>
              <w:spacing w:after="0" w:line="240" w:lineRule="auto"/>
              <w:jc w:val="both"/>
              <w:rPr>
                <w:rFonts w:ascii="Times New Roman" w:eastAsia="Times New Roman" w:hAnsi="Times New Roman" w:cs="Times New Roman"/>
                <w:kern w:val="0"/>
                <w:sz w:val="18"/>
                <w:szCs w:val="18"/>
                <w:lang w:eastAsia="pt-BR"/>
                <w14:ligatures w14:val="none"/>
              </w:rPr>
            </w:pPr>
            <w:proofErr w:type="spellStart"/>
            <w:r w:rsidRPr="008A0C59">
              <w:rPr>
                <w:rFonts w:ascii="Times New Roman" w:eastAsia="Times New Roman" w:hAnsi="Times New Roman" w:cs="Times New Roman"/>
                <w:kern w:val="0"/>
                <w:sz w:val="18"/>
                <w:szCs w:val="18"/>
                <w:lang w:eastAsia="pt-BR"/>
                <w14:ligatures w14:val="none"/>
              </w:rPr>
              <w:t>Baerlocher</w:t>
            </w:r>
            <w:proofErr w:type="spellEnd"/>
            <w:r w:rsidRPr="008A0C59">
              <w:rPr>
                <w:rFonts w:ascii="Times New Roman" w:eastAsia="Times New Roman" w:hAnsi="Times New Roman" w:cs="Times New Roman"/>
                <w:kern w:val="0"/>
                <w:sz w:val="18"/>
                <w:szCs w:val="18"/>
                <w:lang w:eastAsia="pt-BR"/>
                <w14:ligatures w14:val="none"/>
              </w:rPr>
              <w:t xml:space="preserve"> et al. (2019) e </w:t>
            </w:r>
            <w:proofErr w:type="spellStart"/>
            <w:r w:rsidRPr="008A0C59">
              <w:rPr>
                <w:rFonts w:ascii="Times New Roman" w:eastAsia="Times New Roman" w:hAnsi="Times New Roman" w:cs="Times New Roman"/>
                <w:kern w:val="0"/>
                <w:sz w:val="18"/>
                <w:szCs w:val="18"/>
                <w:lang w:eastAsia="pt-BR"/>
                <w14:ligatures w14:val="none"/>
              </w:rPr>
              <w:t>C</w:t>
            </w:r>
            <w:r>
              <w:rPr>
                <w:rFonts w:ascii="Times New Roman" w:eastAsia="Times New Roman" w:hAnsi="Times New Roman" w:cs="Times New Roman"/>
                <w:kern w:val="0"/>
                <w:sz w:val="18"/>
                <w:szCs w:val="18"/>
                <w:lang w:eastAsia="pt-BR"/>
                <w14:ligatures w14:val="none"/>
              </w:rPr>
              <w:t>uaresma</w:t>
            </w:r>
            <w:proofErr w:type="spellEnd"/>
            <w:r>
              <w:rPr>
                <w:rFonts w:ascii="Times New Roman" w:eastAsia="Times New Roman" w:hAnsi="Times New Roman" w:cs="Times New Roman"/>
                <w:kern w:val="0"/>
                <w:sz w:val="18"/>
                <w:szCs w:val="18"/>
                <w:lang w:eastAsia="pt-BR"/>
                <w14:ligatures w14:val="none"/>
              </w:rPr>
              <w:t xml:space="preserve"> et al. (2014).</w:t>
            </w:r>
          </w:p>
        </w:tc>
      </w:tr>
      <w:tr w:rsidR="008A0C59" w:rsidRPr="00C83685" w14:paraId="2B538928" w14:textId="77777777" w:rsidTr="00657EC8">
        <w:trPr>
          <w:gridAfter w:val="2"/>
          <w:wAfter w:w="54" w:type="pct"/>
          <w:trHeight w:val="290"/>
        </w:trPr>
        <w:tc>
          <w:tcPr>
            <w:tcW w:w="2298" w:type="pct"/>
            <w:gridSpan w:val="4"/>
            <w:tcBorders>
              <w:top w:val="single" w:sz="4" w:space="0" w:color="auto"/>
              <w:left w:val="nil"/>
              <w:bottom w:val="single" w:sz="4" w:space="0" w:color="auto"/>
              <w:right w:val="nil"/>
            </w:tcBorders>
            <w:shd w:val="clear" w:color="auto" w:fill="auto"/>
            <w:noWrap/>
            <w:vAlign w:val="center"/>
            <w:hideMark/>
          </w:tcPr>
          <w:p w14:paraId="278EB797" w14:textId="6EC9AC44" w:rsidR="008A0C59" w:rsidRPr="00C83685" w:rsidRDefault="008A0C59" w:rsidP="00C745B7">
            <w:pPr>
              <w:spacing w:after="0" w:line="240" w:lineRule="auto"/>
              <w:jc w:val="both"/>
              <w:rPr>
                <w:rFonts w:ascii="Times New Roman" w:eastAsia="Times New Roman" w:hAnsi="Times New Roman" w:cs="Times New Roman"/>
                <w:b/>
                <w:bCs/>
                <w:color w:val="000000"/>
                <w:kern w:val="0"/>
                <w:sz w:val="18"/>
                <w:szCs w:val="18"/>
                <w:lang w:eastAsia="pt-BR"/>
                <w14:ligatures w14:val="none"/>
              </w:rPr>
            </w:pPr>
            <w:proofErr w:type="spellStart"/>
            <w:r>
              <w:rPr>
                <w:rFonts w:ascii="Times New Roman" w:eastAsia="Times New Roman" w:hAnsi="Times New Roman" w:cs="Times New Roman"/>
                <w:b/>
                <w:bCs/>
                <w:color w:val="000000"/>
                <w:kern w:val="0"/>
                <w:sz w:val="18"/>
                <w:szCs w:val="18"/>
                <w:lang w:eastAsia="pt-BR"/>
                <w14:ligatures w14:val="none"/>
              </w:rPr>
              <w:t>Covariadas</w:t>
            </w:r>
            <w:proofErr w:type="spellEnd"/>
            <w:r>
              <w:rPr>
                <w:rFonts w:ascii="Times New Roman" w:eastAsia="Times New Roman" w:hAnsi="Times New Roman" w:cs="Times New Roman"/>
                <w:b/>
                <w:bCs/>
                <w:color w:val="000000"/>
                <w:kern w:val="0"/>
                <w:sz w:val="18"/>
                <w:szCs w:val="18"/>
                <w:lang w:eastAsia="pt-BR"/>
                <w14:ligatures w14:val="none"/>
              </w:rPr>
              <w:t xml:space="preserve"> associadas a demografia</w:t>
            </w:r>
          </w:p>
        </w:tc>
        <w:tc>
          <w:tcPr>
            <w:tcW w:w="641" w:type="pct"/>
            <w:gridSpan w:val="3"/>
            <w:tcBorders>
              <w:top w:val="single" w:sz="4" w:space="0" w:color="auto"/>
              <w:left w:val="nil"/>
              <w:bottom w:val="single" w:sz="4" w:space="0" w:color="auto"/>
              <w:right w:val="nil"/>
            </w:tcBorders>
            <w:shd w:val="clear" w:color="auto" w:fill="auto"/>
            <w:noWrap/>
            <w:vAlign w:val="center"/>
            <w:hideMark/>
          </w:tcPr>
          <w:p w14:paraId="2925F181" w14:textId="77777777" w:rsidR="008A0C59" w:rsidRPr="00C83685" w:rsidRDefault="008A0C59" w:rsidP="00C745B7">
            <w:pPr>
              <w:spacing w:after="0" w:line="240" w:lineRule="auto"/>
              <w:ind w:left="-75"/>
              <w:jc w:val="center"/>
              <w:rPr>
                <w:rFonts w:ascii="Times New Roman" w:eastAsia="Times New Roman" w:hAnsi="Times New Roman" w:cs="Times New Roman"/>
                <w:b/>
                <w:bCs/>
                <w:color w:val="000000"/>
                <w:kern w:val="0"/>
                <w:sz w:val="18"/>
                <w:szCs w:val="18"/>
                <w:lang w:eastAsia="pt-BR"/>
                <w14:ligatures w14:val="none"/>
              </w:rPr>
            </w:pPr>
          </w:p>
        </w:tc>
        <w:tc>
          <w:tcPr>
            <w:tcW w:w="1070" w:type="pct"/>
            <w:gridSpan w:val="2"/>
            <w:tcBorders>
              <w:top w:val="single" w:sz="4" w:space="0" w:color="auto"/>
              <w:left w:val="nil"/>
              <w:bottom w:val="single" w:sz="4" w:space="0" w:color="auto"/>
              <w:right w:val="nil"/>
            </w:tcBorders>
            <w:shd w:val="clear" w:color="auto" w:fill="auto"/>
            <w:noWrap/>
            <w:vAlign w:val="center"/>
            <w:hideMark/>
          </w:tcPr>
          <w:p w14:paraId="2FAE9D95" w14:textId="77777777" w:rsidR="008A0C59" w:rsidRPr="00C83685" w:rsidRDefault="008A0C59" w:rsidP="00C745B7">
            <w:pPr>
              <w:spacing w:after="0" w:line="240" w:lineRule="auto"/>
              <w:jc w:val="center"/>
              <w:rPr>
                <w:rFonts w:ascii="Times New Roman" w:eastAsia="Times New Roman" w:hAnsi="Times New Roman" w:cs="Times New Roman"/>
                <w:b/>
                <w:bCs/>
                <w:color w:val="000000"/>
                <w:kern w:val="0"/>
                <w:sz w:val="18"/>
                <w:szCs w:val="18"/>
                <w:lang w:eastAsia="pt-BR"/>
                <w14:ligatures w14:val="none"/>
              </w:rPr>
            </w:pPr>
          </w:p>
        </w:tc>
        <w:tc>
          <w:tcPr>
            <w:tcW w:w="938" w:type="pct"/>
            <w:gridSpan w:val="2"/>
            <w:tcBorders>
              <w:top w:val="single" w:sz="4" w:space="0" w:color="auto"/>
              <w:left w:val="nil"/>
              <w:bottom w:val="single" w:sz="4" w:space="0" w:color="auto"/>
              <w:right w:val="nil"/>
            </w:tcBorders>
            <w:shd w:val="clear" w:color="auto" w:fill="auto"/>
            <w:noWrap/>
            <w:vAlign w:val="center"/>
            <w:hideMark/>
          </w:tcPr>
          <w:p w14:paraId="58E02E0D" w14:textId="77777777" w:rsidR="008A0C59" w:rsidRPr="00C83685" w:rsidRDefault="008A0C59" w:rsidP="00C745B7">
            <w:pPr>
              <w:spacing w:after="0" w:line="240" w:lineRule="auto"/>
              <w:jc w:val="both"/>
              <w:rPr>
                <w:rFonts w:ascii="Times New Roman" w:eastAsia="Times New Roman" w:hAnsi="Times New Roman" w:cs="Times New Roman"/>
                <w:b/>
                <w:bCs/>
                <w:color w:val="000000"/>
                <w:kern w:val="0"/>
                <w:sz w:val="18"/>
                <w:szCs w:val="18"/>
                <w:lang w:eastAsia="pt-BR"/>
                <w14:ligatures w14:val="none"/>
              </w:rPr>
            </w:pPr>
          </w:p>
        </w:tc>
      </w:tr>
      <w:tr w:rsidR="008A0C59" w:rsidRPr="00C83685" w14:paraId="121B6B18" w14:textId="77777777" w:rsidTr="00657EC8">
        <w:trPr>
          <w:gridAfter w:val="2"/>
          <w:wAfter w:w="54" w:type="pct"/>
          <w:trHeight w:val="631"/>
        </w:trPr>
        <w:tc>
          <w:tcPr>
            <w:tcW w:w="1016" w:type="pct"/>
            <w:tcBorders>
              <w:top w:val="nil"/>
              <w:left w:val="nil"/>
              <w:bottom w:val="nil"/>
              <w:right w:val="nil"/>
            </w:tcBorders>
            <w:shd w:val="clear" w:color="auto" w:fill="auto"/>
            <w:vAlign w:val="center"/>
            <w:hideMark/>
          </w:tcPr>
          <w:p w14:paraId="1C3AA87C" w14:textId="5230D6D7" w:rsidR="008A0C59" w:rsidRPr="00C83685" w:rsidRDefault="008A0C59" w:rsidP="008A0C59">
            <w:pPr>
              <w:spacing w:after="0" w:line="240" w:lineRule="auto"/>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Taxa de Mortalidade</w:t>
            </w:r>
          </w:p>
        </w:tc>
        <w:tc>
          <w:tcPr>
            <w:tcW w:w="1273" w:type="pct"/>
            <w:gridSpan w:val="2"/>
            <w:tcBorders>
              <w:top w:val="nil"/>
              <w:left w:val="nil"/>
              <w:bottom w:val="nil"/>
              <w:right w:val="nil"/>
            </w:tcBorders>
            <w:shd w:val="clear" w:color="auto" w:fill="auto"/>
            <w:vAlign w:val="center"/>
            <w:hideMark/>
          </w:tcPr>
          <w:p w14:paraId="115E6954" w14:textId="0206D47F" w:rsidR="008A0C59" w:rsidRPr="00C83685" w:rsidRDefault="008A0C59" w:rsidP="008A0C59">
            <w:pPr>
              <w:spacing w:after="0" w:line="240" w:lineRule="auto"/>
              <w:jc w:val="both"/>
              <w:rPr>
                <w:rFonts w:ascii="Times New Roman" w:eastAsia="Times New Roman" w:hAnsi="Times New Roman" w:cs="Times New Roman"/>
                <w:color w:val="000000"/>
                <w:kern w:val="0"/>
                <w:sz w:val="18"/>
                <w:szCs w:val="18"/>
                <w:lang w:eastAsia="pt-BR"/>
                <w14:ligatures w14:val="none"/>
              </w:rPr>
            </w:pPr>
            <w:r w:rsidRPr="00644EB1">
              <w:rPr>
                <w:rFonts w:ascii="Times New Roman" w:eastAsia="Times New Roman" w:hAnsi="Times New Roman" w:cs="Times New Roman"/>
                <w:kern w:val="0"/>
                <w:sz w:val="18"/>
                <w:szCs w:val="18"/>
                <w:lang w:eastAsia="pt-BR"/>
                <w14:ligatures w14:val="none"/>
              </w:rPr>
              <w:t>Logaritmo natural da taxa de mortalidade infantil até 1 ano de idade</w:t>
            </w:r>
            <w:r w:rsidRPr="007614B7">
              <w:rPr>
                <w:rFonts w:ascii="Times New Roman" w:eastAsia="Times New Roman" w:hAnsi="Times New Roman" w:cs="Times New Roman"/>
                <w:kern w:val="0"/>
                <w:sz w:val="18"/>
                <w:szCs w:val="18"/>
                <w:vertAlign w:val="superscript"/>
                <w:lang w:eastAsia="pt-BR"/>
                <w14:ligatures w14:val="none"/>
              </w:rPr>
              <w:t>1</w:t>
            </w:r>
            <w:r w:rsidRPr="00644EB1">
              <w:rPr>
                <w:rFonts w:ascii="Times New Roman" w:eastAsia="Times New Roman" w:hAnsi="Times New Roman" w:cs="Times New Roman"/>
                <w:kern w:val="0"/>
                <w:sz w:val="18"/>
                <w:szCs w:val="18"/>
                <w:lang w:eastAsia="pt-BR"/>
                <w14:ligatures w14:val="none"/>
              </w:rPr>
              <w:t>.</w:t>
            </w:r>
          </w:p>
        </w:tc>
        <w:tc>
          <w:tcPr>
            <w:tcW w:w="637" w:type="pct"/>
            <w:gridSpan w:val="3"/>
            <w:tcBorders>
              <w:top w:val="nil"/>
              <w:left w:val="nil"/>
              <w:bottom w:val="nil"/>
              <w:right w:val="nil"/>
            </w:tcBorders>
            <w:shd w:val="clear" w:color="auto" w:fill="auto"/>
            <w:vAlign w:val="center"/>
            <w:hideMark/>
          </w:tcPr>
          <w:p w14:paraId="61599DE4" w14:textId="01D62FB9" w:rsidR="008A0C59" w:rsidRPr="00C83685" w:rsidRDefault="00AC5AF5"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eastAsia="Times New Roman" w:hAnsi="Cambria Math" w:cs="Times New Roman"/>
                    <w:color w:val="000000"/>
                    <w:kern w:val="0"/>
                    <w:sz w:val="18"/>
                    <w:szCs w:val="18"/>
                    <w:lang w:eastAsia="pt-BR"/>
                    <w14:ligatures w14:val="none"/>
                  </w:rPr>
                  <m:t>m</m:t>
                </m:r>
              </m:oMath>
            </m:oMathPara>
          </w:p>
        </w:tc>
        <w:tc>
          <w:tcPr>
            <w:tcW w:w="1082" w:type="pct"/>
            <w:gridSpan w:val="3"/>
            <w:tcBorders>
              <w:top w:val="nil"/>
              <w:left w:val="nil"/>
              <w:bottom w:val="nil"/>
              <w:right w:val="nil"/>
            </w:tcBorders>
            <w:shd w:val="clear" w:color="auto" w:fill="auto"/>
            <w:vAlign w:val="center"/>
            <w:hideMark/>
          </w:tcPr>
          <w:p w14:paraId="460B3155" w14:textId="285673C1" w:rsidR="008A0C59" w:rsidRPr="00C83685"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Microdados dos Censos Demográficos/IBGE</w:t>
            </w:r>
          </w:p>
        </w:tc>
        <w:tc>
          <w:tcPr>
            <w:tcW w:w="938" w:type="pct"/>
            <w:gridSpan w:val="2"/>
            <w:tcBorders>
              <w:top w:val="nil"/>
              <w:left w:val="nil"/>
              <w:bottom w:val="nil"/>
              <w:right w:val="nil"/>
            </w:tcBorders>
            <w:shd w:val="clear" w:color="auto" w:fill="auto"/>
            <w:vAlign w:val="center"/>
          </w:tcPr>
          <w:p w14:paraId="36706D3C" w14:textId="60F166F8" w:rsidR="008A0C59" w:rsidRPr="00C83685" w:rsidRDefault="008A0C59" w:rsidP="008A0C59">
            <w:pPr>
              <w:spacing w:after="0" w:line="240" w:lineRule="auto"/>
              <w:jc w:val="both"/>
              <w:rPr>
                <w:rFonts w:ascii="Times New Roman" w:eastAsia="Times New Roman" w:hAnsi="Times New Roman" w:cs="Times New Roman"/>
                <w:color w:val="000000"/>
                <w:kern w:val="0"/>
                <w:sz w:val="18"/>
                <w:szCs w:val="18"/>
                <w:lang w:eastAsia="pt-BR"/>
                <w14:ligatures w14:val="none"/>
              </w:rPr>
            </w:pPr>
            <w:proofErr w:type="spellStart"/>
            <w:r w:rsidRPr="008A0C59">
              <w:rPr>
                <w:rFonts w:ascii="Times New Roman" w:eastAsia="Times New Roman" w:hAnsi="Times New Roman" w:cs="Times New Roman"/>
                <w:kern w:val="0"/>
                <w:sz w:val="18"/>
                <w:szCs w:val="18"/>
                <w:lang w:eastAsia="pt-BR"/>
                <w14:ligatures w14:val="none"/>
              </w:rPr>
              <w:t>Baerlocher</w:t>
            </w:r>
            <w:proofErr w:type="spellEnd"/>
            <w:r w:rsidRPr="008A0C59">
              <w:rPr>
                <w:rFonts w:ascii="Times New Roman" w:eastAsia="Times New Roman" w:hAnsi="Times New Roman" w:cs="Times New Roman"/>
                <w:kern w:val="0"/>
                <w:sz w:val="18"/>
                <w:szCs w:val="18"/>
                <w:lang w:eastAsia="pt-BR"/>
                <w14:ligatures w14:val="none"/>
              </w:rPr>
              <w:t xml:space="preserve"> et al. (2019) e </w:t>
            </w:r>
            <w:proofErr w:type="spellStart"/>
            <w:r w:rsidRPr="008A0C59">
              <w:rPr>
                <w:rFonts w:ascii="Times New Roman" w:eastAsia="Times New Roman" w:hAnsi="Times New Roman" w:cs="Times New Roman"/>
                <w:kern w:val="0"/>
                <w:sz w:val="18"/>
                <w:szCs w:val="18"/>
                <w:lang w:eastAsia="pt-BR"/>
                <w14:ligatures w14:val="none"/>
              </w:rPr>
              <w:t>C</w:t>
            </w:r>
            <w:r>
              <w:rPr>
                <w:rFonts w:ascii="Times New Roman" w:eastAsia="Times New Roman" w:hAnsi="Times New Roman" w:cs="Times New Roman"/>
                <w:kern w:val="0"/>
                <w:sz w:val="18"/>
                <w:szCs w:val="18"/>
                <w:lang w:eastAsia="pt-BR"/>
                <w14:ligatures w14:val="none"/>
              </w:rPr>
              <w:t>uaresma</w:t>
            </w:r>
            <w:proofErr w:type="spellEnd"/>
            <w:r>
              <w:rPr>
                <w:rFonts w:ascii="Times New Roman" w:eastAsia="Times New Roman" w:hAnsi="Times New Roman" w:cs="Times New Roman"/>
                <w:kern w:val="0"/>
                <w:sz w:val="18"/>
                <w:szCs w:val="18"/>
                <w:lang w:eastAsia="pt-BR"/>
                <w14:ligatures w14:val="none"/>
              </w:rPr>
              <w:t xml:space="preserve"> et al. (2014).</w:t>
            </w:r>
          </w:p>
        </w:tc>
      </w:tr>
      <w:tr w:rsidR="008A0C59" w:rsidRPr="00C83685" w14:paraId="07EABB79" w14:textId="77777777" w:rsidTr="00657EC8">
        <w:trPr>
          <w:gridAfter w:val="2"/>
          <w:wAfter w:w="54" w:type="pct"/>
          <w:trHeight w:val="515"/>
        </w:trPr>
        <w:tc>
          <w:tcPr>
            <w:tcW w:w="1016" w:type="pct"/>
            <w:tcBorders>
              <w:top w:val="nil"/>
              <w:left w:val="nil"/>
              <w:bottom w:val="nil"/>
              <w:right w:val="nil"/>
            </w:tcBorders>
            <w:shd w:val="clear" w:color="auto" w:fill="auto"/>
            <w:vAlign w:val="center"/>
            <w:hideMark/>
          </w:tcPr>
          <w:p w14:paraId="40E83875" w14:textId="304AE90E" w:rsidR="008A0C59" w:rsidRPr="00C83685" w:rsidRDefault="008A0C59" w:rsidP="008A0C59">
            <w:pPr>
              <w:spacing w:after="0" w:line="240" w:lineRule="auto"/>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Taxa de Fecundidade</w:t>
            </w:r>
          </w:p>
        </w:tc>
        <w:tc>
          <w:tcPr>
            <w:tcW w:w="1273" w:type="pct"/>
            <w:gridSpan w:val="2"/>
            <w:tcBorders>
              <w:top w:val="nil"/>
              <w:left w:val="nil"/>
              <w:bottom w:val="nil"/>
              <w:right w:val="nil"/>
            </w:tcBorders>
            <w:shd w:val="clear" w:color="auto" w:fill="auto"/>
            <w:vAlign w:val="center"/>
            <w:hideMark/>
          </w:tcPr>
          <w:p w14:paraId="27CAB7F2" w14:textId="36AEE945" w:rsidR="008A0C59" w:rsidRPr="00C83685" w:rsidRDefault="008A0C59" w:rsidP="008A0C59">
            <w:pPr>
              <w:spacing w:after="0" w:line="240" w:lineRule="auto"/>
              <w:jc w:val="both"/>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Logaritmo natural da taxa de fecundidade</w:t>
            </w:r>
            <w:r w:rsidRPr="000B1D30">
              <w:rPr>
                <w:rFonts w:ascii="Times New Roman" w:eastAsia="Times New Roman" w:hAnsi="Times New Roman" w:cs="Times New Roman"/>
                <w:color w:val="000000"/>
                <w:kern w:val="0"/>
                <w:sz w:val="18"/>
                <w:szCs w:val="18"/>
                <w:vertAlign w:val="superscript"/>
                <w:lang w:eastAsia="pt-BR"/>
                <w14:ligatures w14:val="none"/>
              </w:rPr>
              <w:t>2</w:t>
            </w:r>
            <w:r>
              <w:rPr>
                <w:rFonts w:ascii="Times New Roman" w:eastAsia="Times New Roman" w:hAnsi="Times New Roman" w:cs="Times New Roman"/>
                <w:color w:val="000000"/>
                <w:kern w:val="0"/>
                <w:sz w:val="18"/>
                <w:szCs w:val="18"/>
                <w:lang w:eastAsia="pt-BR"/>
                <w14:ligatures w14:val="none"/>
              </w:rPr>
              <w:t>.</w:t>
            </w:r>
          </w:p>
        </w:tc>
        <w:tc>
          <w:tcPr>
            <w:tcW w:w="637" w:type="pct"/>
            <w:gridSpan w:val="3"/>
            <w:tcBorders>
              <w:top w:val="nil"/>
              <w:left w:val="nil"/>
              <w:bottom w:val="nil"/>
              <w:right w:val="nil"/>
            </w:tcBorders>
            <w:shd w:val="clear" w:color="auto" w:fill="auto"/>
            <w:vAlign w:val="center"/>
            <w:hideMark/>
          </w:tcPr>
          <w:p w14:paraId="366E9778" w14:textId="57447114" w:rsidR="008A0C59" w:rsidRPr="00C83685" w:rsidRDefault="00AC5AF5"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eastAsia="Times New Roman" w:hAnsi="Cambria Math" w:cs="Times New Roman"/>
                    <w:color w:val="000000"/>
                    <w:kern w:val="0"/>
                    <w:sz w:val="18"/>
                    <w:szCs w:val="18"/>
                    <w:lang w:eastAsia="pt-BR"/>
                    <w14:ligatures w14:val="none"/>
                  </w:rPr>
                  <m:t>f</m:t>
                </m:r>
              </m:oMath>
            </m:oMathPara>
          </w:p>
        </w:tc>
        <w:tc>
          <w:tcPr>
            <w:tcW w:w="1082" w:type="pct"/>
            <w:gridSpan w:val="3"/>
            <w:tcBorders>
              <w:top w:val="nil"/>
              <w:left w:val="nil"/>
              <w:bottom w:val="nil"/>
              <w:right w:val="nil"/>
            </w:tcBorders>
            <w:shd w:val="clear" w:color="auto" w:fill="auto"/>
            <w:vAlign w:val="center"/>
          </w:tcPr>
          <w:p w14:paraId="4BB598D4" w14:textId="737DF6B2" w:rsidR="008A0C59" w:rsidRPr="00C83685"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Microdados dos Censos Demográficos/IBGE</w:t>
            </w:r>
          </w:p>
        </w:tc>
        <w:tc>
          <w:tcPr>
            <w:tcW w:w="938" w:type="pct"/>
            <w:gridSpan w:val="2"/>
            <w:tcBorders>
              <w:top w:val="nil"/>
              <w:left w:val="nil"/>
              <w:bottom w:val="nil"/>
              <w:right w:val="nil"/>
            </w:tcBorders>
            <w:shd w:val="clear" w:color="auto" w:fill="auto"/>
            <w:vAlign w:val="center"/>
          </w:tcPr>
          <w:p w14:paraId="10B4ECBD" w14:textId="5B84AE63" w:rsidR="008A0C59" w:rsidRPr="00C83685"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proofErr w:type="spellStart"/>
            <w:r w:rsidRPr="008A0C59">
              <w:rPr>
                <w:rFonts w:ascii="Times New Roman" w:eastAsia="Times New Roman" w:hAnsi="Times New Roman" w:cs="Times New Roman"/>
                <w:kern w:val="0"/>
                <w:sz w:val="18"/>
                <w:szCs w:val="18"/>
                <w:lang w:eastAsia="pt-BR"/>
                <w14:ligatures w14:val="none"/>
              </w:rPr>
              <w:t>Baerlocher</w:t>
            </w:r>
            <w:proofErr w:type="spellEnd"/>
            <w:r w:rsidRPr="008A0C59">
              <w:rPr>
                <w:rFonts w:ascii="Times New Roman" w:eastAsia="Times New Roman" w:hAnsi="Times New Roman" w:cs="Times New Roman"/>
                <w:kern w:val="0"/>
                <w:sz w:val="18"/>
                <w:szCs w:val="18"/>
                <w:lang w:eastAsia="pt-BR"/>
                <w14:ligatures w14:val="none"/>
              </w:rPr>
              <w:t xml:space="preserve"> et al. (2019) e </w:t>
            </w:r>
            <w:proofErr w:type="spellStart"/>
            <w:r w:rsidRPr="008A0C59">
              <w:rPr>
                <w:rFonts w:ascii="Times New Roman" w:eastAsia="Times New Roman" w:hAnsi="Times New Roman" w:cs="Times New Roman"/>
                <w:kern w:val="0"/>
                <w:sz w:val="18"/>
                <w:szCs w:val="18"/>
                <w:lang w:eastAsia="pt-BR"/>
                <w14:ligatures w14:val="none"/>
              </w:rPr>
              <w:t>C</w:t>
            </w:r>
            <w:r>
              <w:rPr>
                <w:rFonts w:ascii="Times New Roman" w:eastAsia="Times New Roman" w:hAnsi="Times New Roman" w:cs="Times New Roman"/>
                <w:kern w:val="0"/>
                <w:sz w:val="18"/>
                <w:szCs w:val="18"/>
                <w:lang w:eastAsia="pt-BR"/>
                <w14:ligatures w14:val="none"/>
              </w:rPr>
              <w:t>uaresma</w:t>
            </w:r>
            <w:proofErr w:type="spellEnd"/>
            <w:r>
              <w:rPr>
                <w:rFonts w:ascii="Times New Roman" w:eastAsia="Times New Roman" w:hAnsi="Times New Roman" w:cs="Times New Roman"/>
                <w:kern w:val="0"/>
                <w:sz w:val="18"/>
                <w:szCs w:val="18"/>
                <w:lang w:eastAsia="pt-BR"/>
                <w14:ligatures w14:val="none"/>
              </w:rPr>
              <w:t xml:space="preserve"> et al. (2014).</w:t>
            </w:r>
          </w:p>
        </w:tc>
      </w:tr>
      <w:tr w:rsidR="008A0C59" w:rsidRPr="00C83685" w14:paraId="19DA5009" w14:textId="77777777" w:rsidTr="00657EC8">
        <w:trPr>
          <w:gridAfter w:val="2"/>
          <w:wAfter w:w="54" w:type="pct"/>
          <w:trHeight w:val="515"/>
        </w:trPr>
        <w:tc>
          <w:tcPr>
            <w:tcW w:w="1016" w:type="pct"/>
            <w:tcBorders>
              <w:top w:val="nil"/>
              <w:left w:val="nil"/>
              <w:bottom w:val="nil"/>
              <w:right w:val="nil"/>
            </w:tcBorders>
            <w:shd w:val="clear" w:color="auto" w:fill="auto"/>
            <w:vAlign w:val="center"/>
          </w:tcPr>
          <w:p w14:paraId="7F92726E" w14:textId="3CA77592" w:rsidR="008A0C59" w:rsidRDefault="008A0C59" w:rsidP="008A0C59">
            <w:pPr>
              <w:spacing w:after="0" w:line="240" w:lineRule="auto"/>
              <w:rPr>
                <w:rFonts w:ascii="Times New Roman" w:eastAsia="Times New Roman" w:hAnsi="Times New Roman" w:cs="Times New Roman"/>
                <w:color w:val="000000"/>
                <w:kern w:val="0"/>
                <w:sz w:val="18"/>
                <w:szCs w:val="18"/>
                <w:lang w:eastAsia="pt-BR"/>
                <w14:ligatures w14:val="none"/>
              </w:rPr>
            </w:pPr>
          </w:p>
        </w:tc>
        <w:tc>
          <w:tcPr>
            <w:tcW w:w="1273" w:type="pct"/>
            <w:gridSpan w:val="2"/>
            <w:tcBorders>
              <w:top w:val="nil"/>
              <w:left w:val="nil"/>
              <w:bottom w:val="nil"/>
              <w:right w:val="nil"/>
            </w:tcBorders>
            <w:shd w:val="clear" w:color="auto" w:fill="auto"/>
            <w:vAlign w:val="center"/>
          </w:tcPr>
          <w:p w14:paraId="303CD887" w14:textId="7E5276E0" w:rsidR="008A0C59" w:rsidRPr="00E540CB" w:rsidRDefault="008A0C59" w:rsidP="008A0C59">
            <w:pPr>
              <w:spacing w:after="0" w:line="240" w:lineRule="auto"/>
              <w:jc w:val="both"/>
              <w:rPr>
                <w:rFonts w:ascii="Times New Roman" w:eastAsia="Times New Roman" w:hAnsi="Times New Roman" w:cs="Times New Roman"/>
                <w:color w:val="000000"/>
                <w:kern w:val="0"/>
                <w:sz w:val="18"/>
                <w:szCs w:val="18"/>
                <w:lang w:eastAsia="pt-BR"/>
                <w14:ligatures w14:val="none"/>
              </w:rPr>
            </w:pPr>
          </w:p>
        </w:tc>
        <w:tc>
          <w:tcPr>
            <w:tcW w:w="637" w:type="pct"/>
            <w:gridSpan w:val="3"/>
            <w:tcBorders>
              <w:top w:val="nil"/>
              <w:left w:val="nil"/>
              <w:bottom w:val="nil"/>
              <w:right w:val="nil"/>
            </w:tcBorders>
            <w:shd w:val="clear" w:color="auto" w:fill="auto"/>
            <w:vAlign w:val="center"/>
          </w:tcPr>
          <w:p w14:paraId="294B828B" w14:textId="53F1CD01" w:rsidR="008A0C59" w:rsidRPr="00C83685"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p>
        </w:tc>
        <w:tc>
          <w:tcPr>
            <w:tcW w:w="1082" w:type="pct"/>
            <w:gridSpan w:val="3"/>
            <w:tcBorders>
              <w:top w:val="nil"/>
              <w:left w:val="nil"/>
              <w:bottom w:val="nil"/>
              <w:right w:val="nil"/>
            </w:tcBorders>
            <w:shd w:val="clear" w:color="auto" w:fill="auto"/>
            <w:vAlign w:val="center"/>
          </w:tcPr>
          <w:p w14:paraId="50DBDD9F" w14:textId="25B96203" w:rsidR="008A0C59" w:rsidRPr="00C83685"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p>
        </w:tc>
        <w:tc>
          <w:tcPr>
            <w:tcW w:w="938" w:type="pct"/>
            <w:gridSpan w:val="2"/>
            <w:tcBorders>
              <w:top w:val="nil"/>
              <w:left w:val="nil"/>
              <w:bottom w:val="nil"/>
              <w:right w:val="nil"/>
            </w:tcBorders>
            <w:shd w:val="clear" w:color="auto" w:fill="auto"/>
            <w:vAlign w:val="center"/>
          </w:tcPr>
          <w:p w14:paraId="1DD1EF69" w14:textId="0D8440DF" w:rsidR="008A0C59" w:rsidRPr="00C83685"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p>
        </w:tc>
      </w:tr>
      <w:tr w:rsidR="00657EC8" w:rsidRPr="00C83685" w14:paraId="3B5A04F6" w14:textId="77777777" w:rsidTr="00657EC8">
        <w:trPr>
          <w:trHeight w:val="515"/>
        </w:trPr>
        <w:tc>
          <w:tcPr>
            <w:tcW w:w="1027" w:type="pct"/>
            <w:gridSpan w:val="2"/>
            <w:tcBorders>
              <w:top w:val="nil"/>
              <w:left w:val="nil"/>
              <w:bottom w:val="nil"/>
              <w:right w:val="nil"/>
            </w:tcBorders>
            <w:shd w:val="clear" w:color="auto" w:fill="auto"/>
            <w:vAlign w:val="center"/>
          </w:tcPr>
          <w:p w14:paraId="03AF4F1E" w14:textId="77777777" w:rsidR="00657EC8" w:rsidRPr="00C83685" w:rsidRDefault="00657EC8" w:rsidP="00C745B7">
            <w:pPr>
              <w:spacing w:after="0" w:line="240" w:lineRule="auto"/>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Primeiro dividendo demográfico</w:t>
            </w:r>
          </w:p>
        </w:tc>
        <w:tc>
          <w:tcPr>
            <w:tcW w:w="1287" w:type="pct"/>
            <w:gridSpan w:val="3"/>
            <w:tcBorders>
              <w:top w:val="nil"/>
              <w:left w:val="nil"/>
              <w:bottom w:val="nil"/>
              <w:right w:val="nil"/>
            </w:tcBorders>
            <w:shd w:val="clear" w:color="auto" w:fill="auto"/>
            <w:vAlign w:val="center"/>
          </w:tcPr>
          <w:p w14:paraId="777ADD6E" w14:textId="77777777" w:rsidR="00657EC8" w:rsidRPr="00C83685" w:rsidRDefault="00657EC8" w:rsidP="00C745B7">
            <w:pPr>
              <w:spacing w:after="0" w:line="240" w:lineRule="auto"/>
              <w:jc w:val="both"/>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Logaritmo natural da divisão entre a população em idade ativa (15 a 64 anos) e a população total.</w:t>
            </w:r>
          </w:p>
        </w:tc>
        <w:tc>
          <w:tcPr>
            <w:tcW w:w="644" w:type="pct"/>
            <w:gridSpan w:val="3"/>
            <w:tcBorders>
              <w:top w:val="nil"/>
              <w:left w:val="nil"/>
              <w:bottom w:val="nil"/>
              <w:right w:val="nil"/>
            </w:tcBorders>
            <w:shd w:val="clear" w:color="auto" w:fill="auto"/>
            <w:vAlign w:val="center"/>
          </w:tcPr>
          <w:p w14:paraId="3F8DB341" w14:textId="77777777" w:rsidR="00657EC8" w:rsidRPr="00C83685" w:rsidRDefault="00657EC8" w:rsidP="00C745B7">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hAnsi="Cambria Math"/>
                  </w:rPr>
                  <m:t>wap</m:t>
                </m:r>
              </m:oMath>
            </m:oMathPara>
          </w:p>
        </w:tc>
        <w:tc>
          <w:tcPr>
            <w:tcW w:w="1094" w:type="pct"/>
            <w:gridSpan w:val="2"/>
            <w:tcBorders>
              <w:top w:val="nil"/>
              <w:left w:val="nil"/>
              <w:bottom w:val="nil"/>
              <w:right w:val="nil"/>
            </w:tcBorders>
            <w:shd w:val="clear" w:color="auto" w:fill="auto"/>
            <w:vAlign w:val="center"/>
          </w:tcPr>
          <w:p w14:paraId="3A22ACD7" w14:textId="77777777" w:rsidR="00657EC8" w:rsidRPr="000A77B5" w:rsidRDefault="00657EC8" w:rsidP="00C745B7">
            <w:pPr>
              <w:spacing w:after="0" w:line="240" w:lineRule="auto"/>
              <w:jc w:val="center"/>
              <w:rPr>
                <w:rFonts w:ascii="Times New Roman" w:eastAsia="Times New Roman" w:hAnsi="Times New Roman" w:cs="Times New Roman"/>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Microdados dos Censos Demográficos/IBGE</w:t>
            </w:r>
          </w:p>
        </w:tc>
        <w:tc>
          <w:tcPr>
            <w:tcW w:w="948" w:type="pct"/>
            <w:gridSpan w:val="3"/>
            <w:tcBorders>
              <w:top w:val="nil"/>
              <w:left w:val="nil"/>
              <w:bottom w:val="nil"/>
              <w:right w:val="nil"/>
            </w:tcBorders>
            <w:shd w:val="clear" w:color="auto" w:fill="auto"/>
            <w:vAlign w:val="center"/>
          </w:tcPr>
          <w:p w14:paraId="5F4D80FB" w14:textId="77777777" w:rsidR="00657EC8" w:rsidRPr="008A6375" w:rsidRDefault="00657EC8" w:rsidP="00C745B7">
            <w:pPr>
              <w:spacing w:after="0" w:line="240" w:lineRule="auto"/>
              <w:jc w:val="center"/>
              <w:rPr>
                <w:rFonts w:ascii="Times New Roman" w:eastAsia="Times New Roman" w:hAnsi="Times New Roman" w:cs="Times New Roman"/>
                <w:kern w:val="0"/>
                <w:sz w:val="18"/>
                <w:szCs w:val="18"/>
                <w:lang w:eastAsia="pt-BR"/>
                <w14:ligatures w14:val="none"/>
              </w:rPr>
            </w:pPr>
            <w:proofErr w:type="spellStart"/>
            <w:r w:rsidRPr="008A0C59">
              <w:rPr>
                <w:rFonts w:ascii="Times New Roman" w:eastAsia="Times New Roman" w:hAnsi="Times New Roman" w:cs="Times New Roman"/>
                <w:kern w:val="0"/>
                <w:sz w:val="18"/>
                <w:szCs w:val="18"/>
                <w:lang w:eastAsia="pt-BR"/>
                <w14:ligatures w14:val="none"/>
              </w:rPr>
              <w:t>Baerlocher</w:t>
            </w:r>
            <w:proofErr w:type="spellEnd"/>
            <w:r w:rsidRPr="008A0C59">
              <w:rPr>
                <w:rFonts w:ascii="Times New Roman" w:eastAsia="Times New Roman" w:hAnsi="Times New Roman" w:cs="Times New Roman"/>
                <w:kern w:val="0"/>
                <w:sz w:val="18"/>
                <w:szCs w:val="18"/>
                <w:lang w:eastAsia="pt-BR"/>
                <w14:ligatures w14:val="none"/>
              </w:rPr>
              <w:t xml:space="preserve"> et al. (2019) e </w:t>
            </w:r>
            <w:proofErr w:type="spellStart"/>
            <w:r w:rsidRPr="008A0C59">
              <w:rPr>
                <w:rFonts w:ascii="Times New Roman" w:eastAsia="Times New Roman" w:hAnsi="Times New Roman" w:cs="Times New Roman"/>
                <w:kern w:val="0"/>
                <w:sz w:val="18"/>
                <w:szCs w:val="18"/>
                <w:lang w:eastAsia="pt-BR"/>
                <w14:ligatures w14:val="none"/>
              </w:rPr>
              <w:t>C</w:t>
            </w:r>
            <w:r>
              <w:rPr>
                <w:rFonts w:ascii="Times New Roman" w:eastAsia="Times New Roman" w:hAnsi="Times New Roman" w:cs="Times New Roman"/>
                <w:kern w:val="0"/>
                <w:sz w:val="18"/>
                <w:szCs w:val="18"/>
                <w:lang w:eastAsia="pt-BR"/>
                <w14:ligatures w14:val="none"/>
              </w:rPr>
              <w:t>uaresma</w:t>
            </w:r>
            <w:proofErr w:type="spellEnd"/>
            <w:r>
              <w:rPr>
                <w:rFonts w:ascii="Times New Roman" w:eastAsia="Times New Roman" w:hAnsi="Times New Roman" w:cs="Times New Roman"/>
                <w:kern w:val="0"/>
                <w:sz w:val="18"/>
                <w:szCs w:val="18"/>
                <w:lang w:eastAsia="pt-BR"/>
                <w14:ligatures w14:val="none"/>
              </w:rPr>
              <w:t xml:space="preserve"> et al. (2014).</w:t>
            </w:r>
          </w:p>
        </w:tc>
      </w:tr>
      <w:tr w:rsidR="00657EC8" w:rsidRPr="00C83685" w14:paraId="0769F37F" w14:textId="77777777" w:rsidTr="00657EC8">
        <w:trPr>
          <w:gridAfter w:val="2"/>
          <w:wAfter w:w="54" w:type="pct"/>
          <w:trHeight w:val="515"/>
        </w:trPr>
        <w:tc>
          <w:tcPr>
            <w:tcW w:w="1016" w:type="pct"/>
            <w:tcBorders>
              <w:top w:val="nil"/>
              <w:left w:val="nil"/>
              <w:bottom w:val="nil"/>
              <w:right w:val="nil"/>
            </w:tcBorders>
            <w:shd w:val="clear" w:color="auto" w:fill="auto"/>
            <w:vAlign w:val="center"/>
          </w:tcPr>
          <w:p w14:paraId="12560E9D" w14:textId="77777777" w:rsidR="00657EC8" w:rsidRDefault="00657EC8" w:rsidP="008A0C59">
            <w:pPr>
              <w:spacing w:after="0" w:line="240" w:lineRule="auto"/>
              <w:rPr>
                <w:rFonts w:ascii="Times New Roman" w:eastAsia="Times New Roman" w:hAnsi="Times New Roman" w:cs="Times New Roman"/>
                <w:color w:val="000000"/>
                <w:kern w:val="0"/>
                <w:sz w:val="18"/>
                <w:szCs w:val="18"/>
                <w:lang w:eastAsia="pt-BR"/>
                <w14:ligatures w14:val="none"/>
              </w:rPr>
            </w:pPr>
          </w:p>
        </w:tc>
        <w:tc>
          <w:tcPr>
            <w:tcW w:w="1273" w:type="pct"/>
            <w:gridSpan w:val="2"/>
            <w:tcBorders>
              <w:top w:val="nil"/>
              <w:left w:val="nil"/>
              <w:bottom w:val="nil"/>
              <w:right w:val="nil"/>
            </w:tcBorders>
            <w:shd w:val="clear" w:color="auto" w:fill="auto"/>
            <w:vAlign w:val="center"/>
          </w:tcPr>
          <w:p w14:paraId="0A7B50E4" w14:textId="77777777" w:rsidR="00657EC8" w:rsidRPr="00E540CB" w:rsidRDefault="00657EC8" w:rsidP="008A0C59">
            <w:pPr>
              <w:spacing w:after="0" w:line="240" w:lineRule="auto"/>
              <w:jc w:val="both"/>
              <w:rPr>
                <w:rFonts w:ascii="Times New Roman" w:eastAsia="Times New Roman" w:hAnsi="Times New Roman" w:cs="Times New Roman"/>
                <w:color w:val="000000"/>
                <w:kern w:val="0"/>
                <w:sz w:val="18"/>
                <w:szCs w:val="18"/>
                <w:lang w:eastAsia="pt-BR"/>
                <w14:ligatures w14:val="none"/>
              </w:rPr>
            </w:pPr>
          </w:p>
        </w:tc>
        <w:tc>
          <w:tcPr>
            <w:tcW w:w="637" w:type="pct"/>
            <w:gridSpan w:val="3"/>
            <w:tcBorders>
              <w:top w:val="nil"/>
              <w:left w:val="nil"/>
              <w:bottom w:val="nil"/>
              <w:right w:val="nil"/>
            </w:tcBorders>
            <w:shd w:val="clear" w:color="auto" w:fill="auto"/>
            <w:vAlign w:val="center"/>
          </w:tcPr>
          <w:p w14:paraId="37DAE29E" w14:textId="77777777" w:rsidR="00657EC8" w:rsidRPr="00C83685" w:rsidRDefault="00657EC8"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p>
        </w:tc>
        <w:tc>
          <w:tcPr>
            <w:tcW w:w="1082" w:type="pct"/>
            <w:gridSpan w:val="3"/>
            <w:tcBorders>
              <w:top w:val="nil"/>
              <w:left w:val="nil"/>
              <w:bottom w:val="nil"/>
              <w:right w:val="nil"/>
            </w:tcBorders>
            <w:shd w:val="clear" w:color="auto" w:fill="auto"/>
            <w:vAlign w:val="center"/>
          </w:tcPr>
          <w:p w14:paraId="63348C2E" w14:textId="77777777" w:rsidR="00657EC8" w:rsidRPr="00C83685" w:rsidRDefault="00657EC8"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p>
        </w:tc>
        <w:tc>
          <w:tcPr>
            <w:tcW w:w="938" w:type="pct"/>
            <w:gridSpan w:val="2"/>
            <w:tcBorders>
              <w:top w:val="nil"/>
              <w:left w:val="nil"/>
              <w:bottom w:val="nil"/>
              <w:right w:val="nil"/>
            </w:tcBorders>
            <w:shd w:val="clear" w:color="auto" w:fill="auto"/>
            <w:vAlign w:val="center"/>
          </w:tcPr>
          <w:p w14:paraId="71F2B72B" w14:textId="77777777" w:rsidR="00657EC8" w:rsidRPr="00C83685" w:rsidRDefault="00657EC8"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p>
        </w:tc>
      </w:tr>
      <w:tr w:rsidR="008A0C59" w:rsidRPr="00C83685" w14:paraId="34F15EBA" w14:textId="77777777" w:rsidTr="00657EC8">
        <w:trPr>
          <w:gridAfter w:val="2"/>
          <w:wAfter w:w="54" w:type="pct"/>
          <w:trHeight w:val="515"/>
        </w:trPr>
        <w:tc>
          <w:tcPr>
            <w:tcW w:w="1016" w:type="pct"/>
            <w:tcBorders>
              <w:top w:val="nil"/>
              <w:left w:val="nil"/>
              <w:bottom w:val="nil"/>
              <w:right w:val="nil"/>
            </w:tcBorders>
            <w:shd w:val="clear" w:color="auto" w:fill="auto"/>
            <w:vAlign w:val="center"/>
          </w:tcPr>
          <w:p w14:paraId="5E15687D" w14:textId="47D74D94" w:rsidR="008A0C59" w:rsidRPr="00C83685" w:rsidRDefault="00657EC8" w:rsidP="008A0C59">
            <w:pPr>
              <w:spacing w:after="0" w:line="240" w:lineRule="auto"/>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Taxa de crescimento populacional</w:t>
            </w:r>
          </w:p>
        </w:tc>
        <w:tc>
          <w:tcPr>
            <w:tcW w:w="1273" w:type="pct"/>
            <w:gridSpan w:val="2"/>
            <w:tcBorders>
              <w:top w:val="nil"/>
              <w:left w:val="nil"/>
              <w:bottom w:val="nil"/>
              <w:right w:val="nil"/>
            </w:tcBorders>
            <w:shd w:val="clear" w:color="auto" w:fill="auto"/>
            <w:vAlign w:val="center"/>
          </w:tcPr>
          <w:p w14:paraId="765674A0" w14:textId="187FBCCA" w:rsidR="008A0C59" w:rsidRPr="00C83685" w:rsidRDefault="008A0C59" w:rsidP="008A0C59">
            <w:pPr>
              <w:spacing w:after="0" w:line="240" w:lineRule="auto"/>
              <w:jc w:val="both"/>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 xml:space="preserve">Logaritmo natural da divisão entre a população </w:t>
            </w:r>
            <w:r w:rsidR="006926B2">
              <w:rPr>
                <w:rFonts w:ascii="Times New Roman" w:eastAsia="Times New Roman" w:hAnsi="Times New Roman" w:cs="Times New Roman"/>
                <w:color w:val="000000"/>
                <w:kern w:val="0"/>
                <w:sz w:val="18"/>
                <w:szCs w:val="18"/>
                <w:lang w:eastAsia="pt-BR"/>
                <w14:ligatures w14:val="none"/>
              </w:rPr>
              <w:t>total</w:t>
            </w:r>
            <w:r w:rsidR="00D54696">
              <w:rPr>
                <w:rFonts w:ascii="Times New Roman" w:eastAsia="Times New Roman" w:hAnsi="Times New Roman" w:cs="Times New Roman"/>
                <w:color w:val="000000"/>
                <w:kern w:val="0"/>
                <w:sz w:val="18"/>
                <w:szCs w:val="18"/>
                <w:lang w:eastAsia="pt-BR"/>
                <w14:ligatures w14:val="none"/>
              </w:rPr>
              <w:t xml:space="preserve"> em 2010</w:t>
            </w:r>
            <w:r>
              <w:rPr>
                <w:rFonts w:ascii="Times New Roman" w:eastAsia="Times New Roman" w:hAnsi="Times New Roman" w:cs="Times New Roman"/>
                <w:color w:val="000000"/>
                <w:kern w:val="0"/>
                <w:sz w:val="18"/>
                <w:szCs w:val="18"/>
                <w:lang w:eastAsia="pt-BR"/>
                <w14:ligatures w14:val="none"/>
              </w:rPr>
              <w:t xml:space="preserve"> e a população total</w:t>
            </w:r>
            <w:r w:rsidR="006926B2">
              <w:rPr>
                <w:rFonts w:ascii="Times New Roman" w:eastAsia="Times New Roman" w:hAnsi="Times New Roman" w:cs="Times New Roman"/>
                <w:color w:val="000000"/>
                <w:kern w:val="0"/>
                <w:sz w:val="18"/>
                <w:szCs w:val="18"/>
                <w:lang w:eastAsia="pt-BR"/>
                <w14:ligatures w14:val="none"/>
              </w:rPr>
              <w:t xml:space="preserve"> em 2000</w:t>
            </w:r>
            <w:r>
              <w:rPr>
                <w:rFonts w:ascii="Times New Roman" w:eastAsia="Times New Roman" w:hAnsi="Times New Roman" w:cs="Times New Roman"/>
                <w:color w:val="000000"/>
                <w:kern w:val="0"/>
                <w:sz w:val="18"/>
                <w:szCs w:val="18"/>
                <w:lang w:eastAsia="pt-BR"/>
                <w14:ligatures w14:val="none"/>
              </w:rPr>
              <w:t>.</w:t>
            </w:r>
          </w:p>
        </w:tc>
        <w:tc>
          <w:tcPr>
            <w:tcW w:w="637" w:type="pct"/>
            <w:gridSpan w:val="3"/>
            <w:tcBorders>
              <w:top w:val="nil"/>
              <w:left w:val="nil"/>
              <w:bottom w:val="nil"/>
              <w:right w:val="nil"/>
            </w:tcBorders>
            <w:shd w:val="clear" w:color="auto" w:fill="auto"/>
            <w:vAlign w:val="center"/>
          </w:tcPr>
          <w:p w14:paraId="6DC50992" w14:textId="62AE02BC" w:rsidR="008A0C59" w:rsidRPr="00C83685" w:rsidRDefault="00953744"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eastAsia="Times New Roman" w:hAnsi="Cambria Math" w:cs="Times New Roman"/>
                    <w:color w:val="000000"/>
                    <w:kern w:val="0"/>
                    <w:sz w:val="18"/>
                    <w:szCs w:val="18"/>
                    <w:lang w:eastAsia="pt-BR"/>
                    <w14:ligatures w14:val="none"/>
                  </w:rPr>
                  <m:t>pop</m:t>
                </m:r>
              </m:oMath>
            </m:oMathPara>
          </w:p>
        </w:tc>
        <w:tc>
          <w:tcPr>
            <w:tcW w:w="1082" w:type="pct"/>
            <w:gridSpan w:val="3"/>
            <w:tcBorders>
              <w:top w:val="nil"/>
              <w:left w:val="nil"/>
              <w:bottom w:val="nil"/>
              <w:right w:val="nil"/>
            </w:tcBorders>
            <w:shd w:val="clear" w:color="auto" w:fill="auto"/>
            <w:vAlign w:val="center"/>
          </w:tcPr>
          <w:p w14:paraId="3B0D1229" w14:textId="252656C9" w:rsidR="008A0C59" w:rsidRPr="000A77B5" w:rsidRDefault="008A0C59" w:rsidP="008A0C59">
            <w:pPr>
              <w:spacing w:after="0" w:line="240" w:lineRule="auto"/>
              <w:jc w:val="center"/>
              <w:rPr>
                <w:rFonts w:ascii="Times New Roman" w:eastAsia="Times New Roman" w:hAnsi="Times New Roman" w:cs="Times New Roman"/>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Microdados dos Censos Demográficos/IBGE</w:t>
            </w:r>
          </w:p>
        </w:tc>
        <w:tc>
          <w:tcPr>
            <w:tcW w:w="938" w:type="pct"/>
            <w:gridSpan w:val="2"/>
            <w:tcBorders>
              <w:top w:val="nil"/>
              <w:left w:val="nil"/>
              <w:bottom w:val="nil"/>
              <w:right w:val="nil"/>
            </w:tcBorders>
            <w:shd w:val="clear" w:color="auto" w:fill="auto"/>
            <w:vAlign w:val="center"/>
          </w:tcPr>
          <w:p w14:paraId="7F7E8CED" w14:textId="1FB4FB51" w:rsidR="008A0C59" w:rsidRPr="008A6375" w:rsidRDefault="008A0C59" w:rsidP="008A0C59">
            <w:pPr>
              <w:spacing w:after="0" w:line="240" w:lineRule="auto"/>
              <w:jc w:val="center"/>
              <w:rPr>
                <w:rFonts w:ascii="Times New Roman" w:eastAsia="Times New Roman" w:hAnsi="Times New Roman" w:cs="Times New Roman"/>
                <w:kern w:val="0"/>
                <w:sz w:val="18"/>
                <w:szCs w:val="18"/>
                <w:lang w:eastAsia="pt-BR"/>
                <w14:ligatures w14:val="none"/>
              </w:rPr>
            </w:pPr>
            <w:proofErr w:type="spellStart"/>
            <w:r w:rsidRPr="008A0C59">
              <w:rPr>
                <w:rFonts w:ascii="Times New Roman" w:eastAsia="Times New Roman" w:hAnsi="Times New Roman" w:cs="Times New Roman"/>
                <w:kern w:val="0"/>
                <w:sz w:val="18"/>
                <w:szCs w:val="18"/>
                <w:lang w:eastAsia="pt-BR"/>
                <w14:ligatures w14:val="none"/>
              </w:rPr>
              <w:t>Baerlocher</w:t>
            </w:r>
            <w:proofErr w:type="spellEnd"/>
            <w:r w:rsidRPr="008A0C59">
              <w:rPr>
                <w:rFonts w:ascii="Times New Roman" w:eastAsia="Times New Roman" w:hAnsi="Times New Roman" w:cs="Times New Roman"/>
                <w:kern w:val="0"/>
                <w:sz w:val="18"/>
                <w:szCs w:val="18"/>
                <w:lang w:eastAsia="pt-BR"/>
                <w14:ligatures w14:val="none"/>
              </w:rPr>
              <w:t xml:space="preserve"> et al. (2019) e </w:t>
            </w:r>
            <w:proofErr w:type="spellStart"/>
            <w:r w:rsidRPr="008A0C59">
              <w:rPr>
                <w:rFonts w:ascii="Times New Roman" w:eastAsia="Times New Roman" w:hAnsi="Times New Roman" w:cs="Times New Roman"/>
                <w:kern w:val="0"/>
                <w:sz w:val="18"/>
                <w:szCs w:val="18"/>
                <w:lang w:eastAsia="pt-BR"/>
                <w14:ligatures w14:val="none"/>
              </w:rPr>
              <w:t>C</w:t>
            </w:r>
            <w:r>
              <w:rPr>
                <w:rFonts w:ascii="Times New Roman" w:eastAsia="Times New Roman" w:hAnsi="Times New Roman" w:cs="Times New Roman"/>
                <w:kern w:val="0"/>
                <w:sz w:val="18"/>
                <w:szCs w:val="18"/>
                <w:lang w:eastAsia="pt-BR"/>
                <w14:ligatures w14:val="none"/>
              </w:rPr>
              <w:t>uaresma</w:t>
            </w:r>
            <w:proofErr w:type="spellEnd"/>
            <w:r>
              <w:rPr>
                <w:rFonts w:ascii="Times New Roman" w:eastAsia="Times New Roman" w:hAnsi="Times New Roman" w:cs="Times New Roman"/>
                <w:kern w:val="0"/>
                <w:sz w:val="18"/>
                <w:szCs w:val="18"/>
                <w:lang w:eastAsia="pt-BR"/>
                <w14:ligatures w14:val="none"/>
              </w:rPr>
              <w:t xml:space="preserve"> et al. (2014).</w:t>
            </w:r>
          </w:p>
        </w:tc>
      </w:tr>
      <w:tr w:rsidR="008A0C59" w:rsidRPr="00C83685" w14:paraId="04E05DBB" w14:textId="77777777" w:rsidTr="00657EC8">
        <w:trPr>
          <w:gridAfter w:val="1"/>
          <w:wAfter w:w="28" w:type="pct"/>
          <w:trHeight w:val="290"/>
        </w:trPr>
        <w:tc>
          <w:tcPr>
            <w:tcW w:w="4972" w:type="pct"/>
            <w:gridSpan w:val="12"/>
            <w:tcBorders>
              <w:top w:val="single" w:sz="4" w:space="0" w:color="auto"/>
              <w:left w:val="nil"/>
              <w:bottom w:val="single" w:sz="4" w:space="0" w:color="auto"/>
              <w:right w:val="nil"/>
            </w:tcBorders>
            <w:shd w:val="clear" w:color="auto" w:fill="auto"/>
            <w:vAlign w:val="center"/>
            <w:hideMark/>
          </w:tcPr>
          <w:p w14:paraId="33B3696E" w14:textId="3966767F" w:rsidR="008A0C59" w:rsidRPr="00C83685" w:rsidRDefault="008A0C59" w:rsidP="00C745B7">
            <w:pPr>
              <w:spacing w:after="0" w:line="240" w:lineRule="auto"/>
              <w:jc w:val="both"/>
              <w:rPr>
                <w:rFonts w:ascii="Times New Roman" w:eastAsia="Times New Roman" w:hAnsi="Times New Roman" w:cs="Times New Roman"/>
                <w:b/>
                <w:bCs/>
                <w:color w:val="000000"/>
                <w:kern w:val="0"/>
                <w:sz w:val="18"/>
                <w:szCs w:val="18"/>
                <w:lang w:eastAsia="pt-BR"/>
                <w14:ligatures w14:val="none"/>
              </w:rPr>
            </w:pPr>
            <w:proofErr w:type="spellStart"/>
            <w:r w:rsidRPr="00C83685">
              <w:rPr>
                <w:rFonts w:ascii="Times New Roman" w:eastAsia="Times New Roman" w:hAnsi="Times New Roman" w:cs="Times New Roman"/>
                <w:b/>
                <w:bCs/>
                <w:color w:val="000000"/>
                <w:kern w:val="0"/>
                <w:sz w:val="18"/>
                <w:szCs w:val="18"/>
                <w:lang w:eastAsia="pt-BR"/>
                <w14:ligatures w14:val="none"/>
              </w:rPr>
              <w:t>Covariadas</w:t>
            </w:r>
            <w:proofErr w:type="spellEnd"/>
            <w:r w:rsidRPr="00C83685">
              <w:rPr>
                <w:rFonts w:ascii="Times New Roman" w:eastAsia="Times New Roman" w:hAnsi="Times New Roman" w:cs="Times New Roman"/>
                <w:b/>
                <w:bCs/>
                <w:color w:val="000000"/>
                <w:kern w:val="0"/>
                <w:sz w:val="18"/>
                <w:szCs w:val="18"/>
                <w:lang w:eastAsia="pt-BR"/>
                <w14:ligatures w14:val="none"/>
              </w:rPr>
              <w:t xml:space="preserve"> relacionadas à </w:t>
            </w:r>
            <w:r>
              <w:rPr>
                <w:rFonts w:ascii="Times New Roman" w:eastAsia="Times New Roman" w:hAnsi="Times New Roman" w:cs="Times New Roman"/>
                <w:b/>
                <w:bCs/>
                <w:color w:val="000000"/>
                <w:kern w:val="0"/>
                <w:sz w:val="18"/>
                <w:szCs w:val="18"/>
                <w:lang w:eastAsia="pt-BR"/>
                <w14:ligatures w14:val="none"/>
              </w:rPr>
              <w:t>educação</w:t>
            </w:r>
          </w:p>
        </w:tc>
      </w:tr>
      <w:tr w:rsidR="008A0C59" w:rsidRPr="00C83685" w14:paraId="69D1A239" w14:textId="77777777" w:rsidTr="00657EC8">
        <w:trPr>
          <w:gridAfter w:val="2"/>
          <w:wAfter w:w="54" w:type="pct"/>
          <w:trHeight w:val="515"/>
        </w:trPr>
        <w:tc>
          <w:tcPr>
            <w:tcW w:w="1016" w:type="pct"/>
            <w:tcBorders>
              <w:top w:val="nil"/>
              <w:left w:val="nil"/>
              <w:bottom w:val="nil"/>
              <w:right w:val="nil"/>
            </w:tcBorders>
            <w:shd w:val="clear" w:color="auto" w:fill="auto"/>
            <w:vAlign w:val="center"/>
          </w:tcPr>
          <w:p w14:paraId="38D6B583" w14:textId="0AE85AE9" w:rsidR="008A0C59" w:rsidRDefault="008A0C59" w:rsidP="008A0C59">
            <w:pPr>
              <w:spacing w:after="0" w:line="240" w:lineRule="auto"/>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Expectativa de anos de estudo</w:t>
            </w:r>
          </w:p>
        </w:tc>
        <w:tc>
          <w:tcPr>
            <w:tcW w:w="1273" w:type="pct"/>
            <w:gridSpan w:val="2"/>
            <w:tcBorders>
              <w:top w:val="nil"/>
              <w:left w:val="nil"/>
              <w:bottom w:val="nil"/>
              <w:right w:val="nil"/>
            </w:tcBorders>
            <w:shd w:val="clear" w:color="auto" w:fill="auto"/>
            <w:vAlign w:val="center"/>
          </w:tcPr>
          <w:p w14:paraId="1FFE4486" w14:textId="7E4CD5ED" w:rsidR="008A0C59" w:rsidRPr="00E3286E" w:rsidRDefault="008A0C59" w:rsidP="008A0C59">
            <w:pPr>
              <w:spacing w:after="0" w:line="240" w:lineRule="auto"/>
              <w:jc w:val="both"/>
              <w:rPr>
                <w:rFonts w:ascii="Times New Roman" w:eastAsia="Times New Roman" w:hAnsi="Times New Roman" w:cs="Times New Roman"/>
                <w:kern w:val="0"/>
                <w:sz w:val="18"/>
                <w:szCs w:val="18"/>
                <w:lang w:eastAsia="pt-BR"/>
                <w14:ligatures w14:val="none"/>
              </w:rPr>
            </w:pPr>
            <w:r w:rsidRPr="00E3286E">
              <w:rPr>
                <w:rFonts w:ascii="Times New Roman" w:eastAsia="Times New Roman" w:hAnsi="Times New Roman" w:cs="Times New Roman"/>
                <w:kern w:val="0"/>
                <w:sz w:val="18"/>
                <w:szCs w:val="18"/>
                <w:lang w:eastAsia="pt-BR"/>
                <w14:ligatures w14:val="none"/>
              </w:rPr>
              <w:t>Logaritmo natural do número médio de anos de estudo que uma geração de crianças que ingressa na escola deverá completar ao atingir 18 anos, se os padrões atuais se mantiverem ao longo de sua vida escolar.</w:t>
            </w:r>
          </w:p>
        </w:tc>
        <w:tc>
          <w:tcPr>
            <w:tcW w:w="637" w:type="pct"/>
            <w:gridSpan w:val="3"/>
            <w:tcBorders>
              <w:top w:val="nil"/>
              <w:left w:val="nil"/>
              <w:bottom w:val="nil"/>
              <w:right w:val="nil"/>
            </w:tcBorders>
            <w:shd w:val="clear" w:color="auto" w:fill="auto"/>
            <w:vAlign w:val="center"/>
          </w:tcPr>
          <w:p w14:paraId="78978BAA" w14:textId="2297989D" w:rsidR="008A0C59" w:rsidRPr="00C83685" w:rsidRDefault="00083461"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eastAsia="Times New Roman" w:hAnsi="Cambria Math" w:cs="Times New Roman"/>
                    <w:color w:val="000000"/>
                    <w:kern w:val="0"/>
                    <w:sz w:val="18"/>
                    <w:szCs w:val="18"/>
                    <w:lang w:eastAsia="pt-BR"/>
                    <w14:ligatures w14:val="none"/>
                  </w:rPr>
                  <m:t>e</m:t>
                </m:r>
              </m:oMath>
            </m:oMathPara>
          </w:p>
        </w:tc>
        <w:tc>
          <w:tcPr>
            <w:tcW w:w="1082" w:type="pct"/>
            <w:gridSpan w:val="3"/>
            <w:tcBorders>
              <w:top w:val="nil"/>
              <w:left w:val="nil"/>
              <w:bottom w:val="nil"/>
              <w:right w:val="nil"/>
            </w:tcBorders>
            <w:shd w:val="clear" w:color="auto" w:fill="auto"/>
            <w:vAlign w:val="center"/>
          </w:tcPr>
          <w:p w14:paraId="68D5E16E" w14:textId="6B562E21" w:rsidR="008A0C59" w:rsidRPr="000A77B5" w:rsidRDefault="008A0C59" w:rsidP="008A0C59">
            <w:pPr>
              <w:spacing w:after="0" w:line="240" w:lineRule="auto"/>
              <w:jc w:val="center"/>
              <w:rPr>
                <w:rFonts w:ascii="Times New Roman" w:eastAsia="Times New Roman" w:hAnsi="Times New Roman" w:cs="Times New Roman"/>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Microdados dos Censos Demográficos/IBGE/IPEA/FJP/PNUD</w:t>
            </w:r>
          </w:p>
        </w:tc>
        <w:tc>
          <w:tcPr>
            <w:tcW w:w="938" w:type="pct"/>
            <w:gridSpan w:val="2"/>
            <w:tcBorders>
              <w:top w:val="nil"/>
              <w:left w:val="nil"/>
              <w:bottom w:val="nil"/>
              <w:right w:val="nil"/>
            </w:tcBorders>
            <w:shd w:val="clear" w:color="auto" w:fill="auto"/>
            <w:vAlign w:val="center"/>
          </w:tcPr>
          <w:p w14:paraId="70362FB8" w14:textId="6E4F5353" w:rsidR="008A0C59" w:rsidRPr="008A6375" w:rsidRDefault="008A0C59" w:rsidP="008A0C59">
            <w:pPr>
              <w:spacing w:after="0" w:line="240" w:lineRule="auto"/>
              <w:jc w:val="center"/>
              <w:rPr>
                <w:rFonts w:ascii="Times New Roman" w:eastAsia="Times New Roman" w:hAnsi="Times New Roman" w:cs="Times New Roman"/>
                <w:kern w:val="0"/>
                <w:sz w:val="18"/>
                <w:szCs w:val="18"/>
                <w:lang w:eastAsia="pt-BR"/>
                <w14:ligatures w14:val="none"/>
              </w:rPr>
            </w:pPr>
            <w:proofErr w:type="spellStart"/>
            <w:r w:rsidRPr="008A0C59">
              <w:rPr>
                <w:rFonts w:ascii="Times New Roman" w:eastAsia="Times New Roman" w:hAnsi="Times New Roman" w:cs="Times New Roman"/>
                <w:kern w:val="0"/>
                <w:sz w:val="18"/>
                <w:szCs w:val="18"/>
                <w:lang w:eastAsia="pt-BR"/>
                <w14:ligatures w14:val="none"/>
              </w:rPr>
              <w:t>Baerlocher</w:t>
            </w:r>
            <w:proofErr w:type="spellEnd"/>
            <w:r w:rsidRPr="008A0C59">
              <w:rPr>
                <w:rFonts w:ascii="Times New Roman" w:eastAsia="Times New Roman" w:hAnsi="Times New Roman" w:cs="Times New Roman"/>
                <w:kern w:val="0"/>
                <w:sz w:val="18"/>
                <w:szCs w:val="18"/>
                <w:lang w:eastAsia="pt-BR"/>
                <w14:ligatures w14:val="none"/>
              </w:rPr>
              <w:t xml:space="preserve"> et al. (2019) e </w:t>
            </w:r>
            <w:proofErr w:type="spellStart"/>
            <w:r w:rsidRPr="008A0C59">
              <w:rPr>
                <w:rFonts w:ascii="Times New Roman" w:eastAsia="Times New Roman" w:hAnsi="Times New Roman" w:cs="Times New Roman"/>
                <w:kern w:val="0"/>
                <w:sz w:val="18"/>
                <w:szCs w:val="18"/>
                <w:lang w:eastAsia="pt-BR"/>
                <w14:ligatures w14:val="none"/>
              </w:rPr>
              <w:t>C</w:t>
            </w:r>
            <w:r>
              <w:rPr>
                <w:rFonts w:ascii="Times New Roman" w:eastAsia="Times New Roman" w:hAnsi="Times New Roman" w:cs="Times New Roman"/>
                <w:kern w:val="0"/>
                <w:sz w:val="18"/>
                <w:szCs w:val="18"/>
                <w:lang w:eastAsia="pt-BR"/>
                <w14:ligatures w14:val="none"/>
              </w:rPr>
              <w:t>uaresma</w:t>
            </w:r>
            <w:proofErr w:type="spellEnd"/>
            <w:r>
              <w:rPr>
                <w:rFonts w:ascii="Times New Roman" w:eastAsia="Times New Roman" w:hAnsi="Times New Roman" w:cs="Times New Roman"/>
                <w:kern w:val="0"/>
                <w:sz w:val="18"/>
                <w:szCs w:val="18"/>
                <w:lang w:eastAsia="pt-BR"/>
                <w14:ligatures w14:val="none"/>
              </w:rPr>
              <w:t xml:space="preserve"> et al. (2014).</w:t>
            </w:r>
          </w:p>
        </w:tc>
      </w:tr>
      <w:tr w:rsidR="008A0C59" w:rsidRPr="00156C3A" w14:paraId="0627C920" w14:textId="77777777" w:rsidTr="00657EC8">
        <w:trPr>
          <w:gridAfter w:val="2"/>
          <w:wAfter w:w="54" w:type="pct"/>
          <w:trHeight w:val="1338"/>
        </w:trPr>
        <w:tc>
          <w:tcPr>
            <w:tcW w:w="1016" w:type="pct"/>
            <w:tcBorders>
              <w:top w:val="nil"/>
              <w:left w:val="nil"/>
              <w:bottom w:val="single" w:sz="4" w:space="0" w:color="auto"/>
              <w:right w:val="nil"/>
            </w:tcBorders>
            <w:shd w:val="clear" w:color="auto" w:fill="auto"/>
            <w:vAlign w:val="center"/>
            <w:hideMark/>
          </w:tcPr>
          <w:p w14:paraId="5326B5E5" w14:textId="789AA505" w:rsidR="008A0C59" w:rsidRPr="00C83685" w:rsidRDefault="008A0C59" w:rsidP="008A0C59">
            <w:pPr>
              <w:spacing w:after="0" w:line="240" w:lineRule="auto"/>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Variação de anos de estudo</w:t>
            </w:r>
          </w:p>
        </w:tc>
        <w:tc>
          <w:tcPr>
            <w:tcW w:w="1273" w:type="pct"/>
            <w:gridSpan w:val="2"/>
            <w:tcBorders>
              <w:top w:val="nil"/>
              <w:left w:val="nil"/>
              <w:bottom w:val="single" w:sz="4" w:space="0" w:color="auto"/>
              <w:right w:val="nil"/>
            </w:tcBorders>
            <w:shd w:val="clear" w:color="auto" w:fill="auto"/>
            <w:vAlign w:val="center"/>
          </w:tcPr>
          <w:p w14:paraId="0F1D0117" w14:textId="2F55550A" w:rsidR="008A0C59" w:rsidRPr="00C83685" w:rsidRDefault="00D04AD8" w:rsidP="008A0C59">
            <w:pPr>
              <w:spacing w:after="0" w:line="240" w:lineRule="auto"/>
              <w:jc w:val="both"/>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 xml:space="preserve">Variação da </w:t>
            </w:r>
            <w:r w:rsidR="008A0C59">
              <w:rPr>
                <w:rFonts w:ascii="Times New Roman" w:eastAsia="Times New Roman" w:hAnsi="Times New Roman" w:cs="Times New Roman"/>
                <w:color w:val="000000"/>
                <w:kern w:val="0"/>
                <w:sz w:val="18"/>
                <w:szCs w:val="18"/>
                <w:lang w:eastAsia="pt-BR"/>
                <w14:ligatures w14:val="none"/>
              </w:rPr>
              <w:t>Expec</w:t>
            </w:r>
            <w:r w:rsidR="007A2F19">
              <w:rPr>
                <w:rFonts w:ascii="Times New Roman" w:eastAsia="Times New Roman" w:hAnsi="Times New Roman" w:cs="Times New Roman"/>
                <w:color w:val="000000"/>
                <w:kern w:val="0"/>
                <w:sz w:val="18"/>
                <w:szCs w:val="18"/>
                <w:lang w:eastAsia="pt-BR"/>
                <w14:ligatures w14:val="none"/>
              </w:rPr>
              <w:t>tativa</w:t>
            </w:r>
            <w:r w:rsidR="008A0C59">
              <w:rPr>
                <w:rFonts w:ascii="Times New Roman" w:eastAsia="Times New Roman" w:hAnsi="Times New Roman" w:cs="Times New Roman"/>
                <w:color w:val="000000"/>
                <w:kern w:val="0"/>
                <w:sz w:val="18"/>
                <w:szCs w:val="18"/>
                <w:lang w:eastAsia="pt-BR"/>
                <w14:ligatures w14:val="none"/>
              </w:rPr>
              <w:t xml:space="preserve"> de anos de estudo da AMC i em 2010 </w:t>
            </w:r>
            <w:r w:rsidR="00D270DA">
              <w:rPr>
                <w:rFonts w:ascii="Times New Roman" w:eastAsia="Times New Roman" w:hAnsi="Times New Roman" w:cs="Times New Roman"/>
                <w:color w:val="000000"/>
                <w:kern w:val="0"/>
                <w:sz w:val="18"/>
                <w:szCs w:val="18"/>
                <w:lang w:eastAsia="pt-BR"/>
                <w14:ligatures w14:val="none"/>
              </w:rPr>
              <w:t>em relação</w:t>
            </w:r>
            <w:r w:rsidR="008A0C59">
              <w:rPr>
                <w:rFonts w:ascii="Times New Roman" w:eastAsia="Times New Roman" w:hAnsi="Times New Roman" w:cs="Times New Roman"/>
                <w:color w:val="000000"/>
                <w:kern w:val="0"/>
                <w:sz w:val="18"/>
                <w:szCs w:val="18"/>
                <w:lang w:eastAsia="pt-BR"/>
                <w14:ligatures w14:val="none"/>
              </w:rPr>
              <w:t xml:space="preserve"> Expectativa de anos de estudo da AMC i em 2000.</w:t>
            </w:r>
          </w:p>
        </w:tc>
        <w:tc>
          <w:tcPr>
            <w:tcW w:w="637" w:type="pct"/>
            <w:gridSpan w:val="3"/>
            <w:tcBorders>
              <w:top w:val="nil"/>
              <w:left w:val="nil"/>
              <w:bottom w:val="single" w:sz="4" w:space="0" w:color="auto"/>
              <w:right w:val="nil"/>
            </w:tcBorders>
            <w:shd w:val="clear" w:color="auto" w:fill="auto"/>
            <w:vAlign w:val="center"/>
            <w:hideMark/>
          </w:tcPr>
          <w:p w14:paraId="5B0E026E" w14:textId="24780097" w:rsidR="008A0C59" w:rsidRPr="00C83685" w:rsidRDefault="00083461"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hAnsi="Cambria Math"/>
                  </w:rPr>
                  <m:t>∆</m:t>
                </m:r>
                <m:r>
                  <w:rPr>
                    <w:rFonts w:ascii="Cambria Math" w:hAnsi="Cambria Math"/>
                  </w:rPr>
                  <m:t>e</m:t>
                </m:r>
              </m:oMath>
            </m:oMathPara>
          </w:p>
        </w:tc>
        <w:tc>
          <w:tcPr>
            <w:tcW w:w="1082" w:type="pct"/>
            <w:gridSpan w:val="3"/>
            <w:tcBorders>
              <w:top w:val="nil"/>
              <w:left w:val="nil"/>
              <w:bottom w:val="single" w:sz="4" w:space="0" w:color="auto"/>
              <w:right w:val="nil"/>
            </w:tcBorders>
            <w:shd w:val="clear" w:color="auto" w:fill="auto"/>
            <w:vAlign w:val="center"/>
            <w:hideMark/>
          </w:tcPr>
          <w:p w14:paraId="438020BC" w14:textId="547B76C8" w:rsidR="008A0C59" w:rsidRPr="000A77B5" w:rsidRDefault="008A0C59" w:rsidP="008A0C59">
            <w:pPr>
              <w:spacing w:after="0" w:line="240" w:lineRule="auto"/>
              <w:jc w:val="center"/>
              <w:rPr>
                <w:rFonts w:ascii="Times New Roman" w:eastAsia="Times New Roman" w:hAnsi="Times New Roman" w:cs="Times New Roman"/>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Microdados dos Censos Demográficos/IBGE</w:t>
            </w:r>
          </w:p>
        </w:tc>
        <w:tc>
          <w:tcPr>
            <w:tcW w:w="938" w:type="pct"/>
            <w:gridSpan w:val="2"/>
            <w:tcBorders>
              <w:top w:val="nil"/>
              <w:left w:val="nil"/>
              <w:bottom w:val="single" w:sz="4" w:space="0" w:color="auto"/>
              <w:right w:val="nil"/>
            </w:tcBorders>
            <w:shd w:val="clear" w:color="auto" w:fill="auto"/>
            <w:vAlign w:val="center"/>
          </w:tcPr>
          <w:p w14:paraId="25749FEB" w14:textId="50067828" w:rsidR="008A0C59" w:rsidRPr="008A6375" w:rsidRDefault="008A0C59" w:rsidP="008A0C59">
            <w:pPr>
              <w:spacing w:after="0" w:line="240" w:lineRule="auto"/>
              <w:jc w:val="both"/>
              <w:rPr>
                <w:rFonts w:ascii="Times New Roman" w:eastAsia="Times New Roman" w:hAnsi="Times New Roman" w:cs="Times New Roman"/>
                <w:kern w:val="0"/>
                <w:sz w:val="18"/>
                <w:szCs w:val="18"/>
                <w:lang w:eastAsia="pt-BR"/>
                <w14:ligatures w14:val="none"/>
              </w:rPr>
            </w:pPr>
            <w:proofErr w:type="spellStart"/>
            <w:r w:rsidRPr="008A0C59">
              <w:rPr>
                <w:rFonts w:ascii="Times New Roman" w:eastAsia="Times New Roman" w:hAnsi="Times New Roman" w:cs="Times New Roman"/>
                <w:kern w:val="0"/>
                <w:sz w:val="18"/>
                <w:szCs w:val="18"/>
                <w:lang w:eastAsia="pt-BR"/>
                <w14:ligatures w14:val="none"/>
              </w:rPr>
              <w:t>Baerlocher</w:t>
            </w:r>
            <w:proofErr w:type="spellEnd"/>
            <w:r w:rsidRPr="008A0C59">
              <w:rPr>
                <w:rFonts w:ascii="Times New Roman" w:eastAsia="Times New Roman" w:hAnsi="Times New Roman" w:cs="Times New Roman"/>
                <w:kern w:val="0"/>
                <w:sz w:val="18"/>
                <w:szCs w:val="18"/>
                <w:lang w:eastAsia="pt-BR"/>
                <w14:ligatures w14:val="none"/>
              </w:rPr>
              <w:t xml:space="preserve"> et al. (2019) e </w:t>
            </w:r>
            <w:proofErr w:type="spellStart"/>
            <w:r w:rsidRPr="008A0C59">
              <w:rPr>
                <w:rFonts w:ascii="Times New Roman" w:eastAsia="Times New Roman" w:hAnsi="Times New Roman" w:cs="Times New Roman"/>
                <w:kern w:val="0"/>
                <w:sz w:val="18"/>
                <w:szCs w:val="18"/>
                <w:lang w:eastAsia="pt-BR"/>
                <w14:ligatures w14:val="none"/>
              </w:rPr>
              <w:t>C</w:t>
            </w:r>
            <w:r>
              <w:rPr>
                <w:rFonts w:ascii="Times New Roman" w:eastAsia="Times New Roman" w:hAnsi="Times New Roman" w:cs="Times New Roman"/>
                <w:kern w:val="0"/>
                <w:sz w:val="18"/>
                <w:szCs w:val="18"/>
                <w:lang w:eastAsia="pt-BR"/>
                <w14:ligatures w14:val="none"/>
              </w:rPr>
              <w:t>uaresma</w:t>
            </w:r>
            <w:proofErr w:type="spellEnd"/>
            <w:r>
              <w:rPr>
                <w:rFonts w:ascii="Times New Roman" w:eastAsia="Times New Roman" w:hAnsi="Times New Roman" w:cs="Times New Roman"/>
                <w:kern w:val="0"/>
                <w:sz w:val="18"/>
                <w:szCs w:val="18"/>
                <w:lang w:eastAsia="pt-BR"/>
                <w14:ligatures w14:val="none"/>
              </w:rPr>
              <w:t xml:space="preserve"> et al. (2014).</w:t>
            </w:r>
          </w:p>
        </w:tc>
      </w:tr>
      <w:tr w:rsidR="008A0C59" w:rsidRPr="00C83685" w14:paraId="345AD175" w14:textId="77777777" w:rsidTr="00657EC8">
        <w:trPr>
          <w:gridAfter w:val="2"/>
          <w:wAfter w:w="54" w:type="pct"/>
          <w:trHeight w:val="290"/>
        </w:trPr>
        <w:tc>
          <w:tcPr>
            <w:tcW w:w="4946" w:type="pct"/>
            <w:gridSpan w:val="11"/>
            <w:tcBorders>
              <w:top w:val="single" w:sz="4" w:space="0" w:color="auto"/>
              <w:left w:val="nil"/>
              <w:bottom w:val="single" w:sz="4" w:space="0" w:color="auto"/>
              <w:right w:val="nil"/>
            </w:tcBorders>
            <w:shd w:val="clear" w:color="auto" w:fill="auto"/>
            <w:vAlign w:val="center"/>
            <w:hideMark/>
          </w:tcPr>
          <w:p w14:paraId="3F5B806E" w14:textId="53E1DA38" w:rsidR="008A0C59" w:rsidRPr="00C83685" w:rsidRDefault="008A0C59" w:rsidP="008A0C59">
            <w:pPr>
              <w:spacing w:after="0" w:line="240" w:lineRule="auto"/>
              <w:jc w:val="both"/>
              <w:rPr>
                <w:rFonts w:ascii="Times New Roman" w:eastAsia="Times New Roman" w:hAnsi="Times New Roman" w:cs="Times New Roman"/>
                <w:b/>
                <w:bCs/>
                <w:color w:val="000000"/>
                <w:kern w:val="0"/>
                <w:sz w:val="18"/>
                <w:szCs w:val="18"/>
                <w:lang w:eastAsia="pt-BR"/>
                <w14:ligatures w14:val="none"/>
              </w:rPr>
            </w:pPr>
            <w:proofErr w:type="spellStart"/>
            <w:r w:rsidRPr="00C83685">
              <w:rPr>
                <w:rFonts w:ascii="Times New Roman" w:eastAsia="Times New Roman" w:hAnsi="Times New Roman" w:cs="Times New Roman"/>
                <w:b/>
                <w:bCs/>
                <w:color w:val="000000"/>
                <w:kern w:val="0"/>
                <w:sz w:val="18"/>
                <w:szCs w:val="18"/>
                <w:lang w:eastAsia="pt-BR"/>
                <w14:ligatures w14:val="none"/>
              </w:rPr>
              <w:t>Covariadas</w:t>
            </w:r>
            <w:proofErr w:type="spellEnd"/>
            <w:r w:rsidRPr="00C83685">
              <w:rPr>
                <w:rFonts w:ascii="Times New Roman" w:eastAsia="Times New Roman" w:hAnsi="Times New Roman" w:cs="Times New Roman"/>
                <w:b/>
                <w:bCs/>
                <w:color w:val="000000"/>
                <w:kern w:val="0"/>
                <w:sz w:val="18"/>
                <w:szCs w:val="18"/>
                <w:lang w:eastAsia="pt-BR"/>
                <w14:ligatures w14:val="none"/>
              </w:rPr>
              <w:t xml:space="preserve"> relacionadas à </w:t>
            </w:r>
            <w:r>
              <w:rPr>
                <w:rFonts w:ascii="Times New Roman" w:eastAsia="Times New Roman" w:hAnsi="Times New Roman" w:cs="Times New Roman"/>
                <w:b/>
                <w:bCs/>
                <w:color w:val="000000"/>
                <w:kern w:val="0"/>
                <w:sz w:val="18"/>
                <w:szCs w:val="18"/>
                <w:lang w:eastAsia="pt-BR"/>
                <w14:ligatures w14:val="none"/>
              </w:rPr>
              <w:t>poupança</w:t>
            </w:r>
          </w:p>
        </w:tc>
      </w:tr>
      <w:tr w:rsidR="008A0C59" w:rsidRPr="00DF412E" w14:paraId="22FA1B61" w14:textId="77777777" w:rsidTr="00657EC8">
        <w:trPr>
          <w:gridAfter w:val="2"/>
          <w:wAfter w:w="54" w:type="pct"/>
          <w:trHeight w:val="520"/>
        </w:trPr>
        <w:tc>
          <w:tcPr>
            <w:tcW w:w="1016" w:type="pct"/>
            <w:tcBorders>
              <w:top w:val="nil"/>
              <w:left w:val="nil"/>
              <w:bottom w:val="nil"/>
              <w:right w:val="nil"/>
            </w:tcBorders>
            <w:shd w:val="clear" w:color="auto" w:fill="auto"/>
            <w:vAlign w:val="center"/>
          </w:tcPr>
          <w:p w14:paraId="72E58B2E" w14:textId="466F5166" w:rsidR="008A0C59" w:rsidRPr="00C83685" w:rsidRDefault="008A0C59" w:rsidP="008A0C59">
            <w:pPr>
              <w:spacing w:after="0" w:line="240" w:lineRule="auto"/>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Poupança per capita</w:t>
            </w:r>
          </w:p>
        </w:tc>
        <w:tc>
          <w:tcPr>
            <w:tcW w:w="1273" w:type="pct"/>
            <w:gridSpan w:val="2"/>
            <w:tcBorders>
              <w:top w:val="nil"/>
              <w:left w:val="nil"/>
              <w:bottom w:val="nil"/>
              <w:right w:val="nil"/>
            </w:tcBorders>
            <w:shd w:val="clear" w:color="auto" w:fill="auto"/>
            <w:vAlign w:val="center"/>
          </w:tcPr>
          <w:p w14:paraId="6B19657C" w14:textId="5603B3AB" w:rsidR="008A0C59" w:rsidRPr="00C83685" w:rsidRDefault="008A0C59" w:rsidP="008A0C59">
            <w:pPr>
              <w:spacing w:after="0" w:line="240" w:lineRule="auto"/>
              <w:jc w:val="both"/>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Logaritmo natural aplicado à divisão do t</w:t>
            </w:r>
            <w:r w:rsidRPr="008A69B3">
              <w:rPr>
                <w:rFonts w:ascii="Times New Roman" w:eastAsia="Times New Roman" w:hAnsi="Times New Roman" w:cs="Times New Roman"/>
                <w:color w:val="000000"/>
                <w:kern w:val="0"/>
                <w:sz w:val="18"/>
                <w:szCs w:val="18"/>
                <w:lang w:eastAsia="pt-BR"/>
                <w14:ligatures w14:val="none"/>
              </w:rPr>
              <w:t>otal</w:t>
            </w:r>
            <w:r>
              <w:rPr>
                <w:rFonts w:ascii="Times New Roman" w:eastAsia="Times New Roman" w:hAnsi="Times New Roman" w:cs="Times New Roman"/>
                <w:color w:val="000000"/>
                <w:kern w:val="0"/>
                <w:sz w:val="18"/>
                <w:szCs w:val="18"/>
                <w:lang w:eastAsia="pt-BR"/>
                <w14:ligatures w14:val="none"/>
              </w:rPr>
              <w:t xml:space="preserve"> de depósitos </w:t>
            </w:r>
            <w:r w:rsidRPr="008A69B3">
              <w:rPr>
                <w:rFonts w:ascii="Times New Roman" w:eastAsia="Times New Roman" w:hAnsi="Times New Roman" w:cs="Times New Roman"/>
                <w:color w:val="000000"/>
                <w:kern w:val="0"/>
                <w:sz w:val="18"/>
                <w:szCs w:val="18"/>
                <w:lang w:eastAsia="pt-BR"/>
                <w14:ligatures w14:val="none"/>
              </w:rPr>
              <w:t>de</w:t>
            </w:r>
            <w:r>
              <w:rPr>
                <w:rFonts w:ascii="Times New Roman" w:eastAsia="Times New Roman" w:hAnsi="Times New Roman" w:cs="Times New Roman"/>
                <w:color w:val="000000"/>
                <w:kern w:val="0"/>
                <w:sz w:val="18"/>
                <w:szCs w:val="18"/>
                <w:lang w:eastAsia="pt-BR"/>
                <w14:ligatures w14:val="none"/>
              </w:rPr>
              <w:t xml:space="preserve"> </w:t>
            </w:r>
            <w:r w:rsidRPr="008A69B3">
              <w:rPr>
                <w:rFonts w:ascii="Times New Roman" w:eastAsia="Times New Roman" w:hAnsi="Times New Roman" w:cs="Times New Roman"/>
                <w:color w:val="000000"/>
                <w:kern w:val="0"/>
                <w:sz w:val="18"/>
                <w:szCs w:val="18"/>
                <w:lang w:eastAsia="pt-BR"/>
                <w14:ligatures w14:val="none"/>
              </w:rPr>
              <w:t>poupan</w:t>
            </w:r>
            <w:r>
              <w:rPr>
                <w:rFonts w:ascii="Times New Roman" w:eastAsia="Times New Roman" w:hAnsi="Times New Roman" w:cs="Times New Roman"/>
                <w:color w:val="000000"/>
                <w:kern w:val="0"/>
                <w:sz w:val="18"/>
                <w:szCs w:val="18"/>
                <w:lang w:eastAsia="pt-BR"/>
                <w14:ligatures w14:val="none"/>
              </w:rPr>
              <w:t xml:space="preserve">ça </w:t>
            </w:r>
            <w:r w:rsidR="00967FE2">
              <w:rPr>
                <w:rFonts w:ascii="Times New Roman" w:eastAsia="Times New Roman" w:hAnsi="Times New Roman" w:cs="Times New Roman"/>
                <w:color w:val="000000"/>
                <w:kern w:val="0"/>
                <w:sz w:val="18"/>
                <w:szCs w:val="18"/>
                <w:lang w:eastAsia="pt-BR"/>
                <w14:ligatures w14:val="none"/>
              </w:rPr>
              <w:t>nas agências bancárias</w:t>
            </w:r>
            <w:r w:rsidR="000B565A">
              <w:rPr>
                <w:rFonts w:ascii="Times New Roman" w:eastAsia="Times New Roman" w:hAnsi="Times New Roman" w:cs="Times New Roman"/>
                <w:color w:val="000000"/>
                <w:kern w:val="0"/>
                <w:sz w:val="18"/>
                <w:szCs w:val="18"/>
                <w:lang w:eastAsia="pt-BR"/>
                <w14:ligatures w14:val="none"/>
              </w:rPr>
              <w:t xml:space="preserve"> da</w:t>
            </w:r>
            <w:r>
              <w:rPr>
                <w:rFonts w:ascii="Times New Roman" w:eastAsia="Times New Roman" w:hAnsi="Times New Roman" w:cs="Times New Roman"/>
                <w:color w:val="000000"/>
                <w:kern w:val="0"/>
                <w:sz w:val="18"/>
                <w:szCs w:val="18"/>
                <w:lang w:eastAsia="pt-BR"/>
                <w14:ligatures w14:val="none"/>
              </w:rPr>
              <w:t xml:space="preserve"> AMC i pela população total na AMC i.</w:t>
            </w:r>
          </w:p>
        </w:tc>
        <w:tc>
          <w:tcPr>
            <w:tcW w:w="637" w:type="pct"/>
            <w:gridSpan w:val="3"/>
            <w:tcBorders>
              <w:top w:val="nil"/>
              <w:left w:val="nil"/>
              <w:bottom w:val="nil"/>
              <w:right w:val="nil"/>
            </w:tcBorders>
            <w:shd w:val="clear" w:color="auto" w:fill="auto"/>
            <w:vAlign w:val="center"/>
          </w:tcPr>
          <w:p w14:paraId="485736F7" w14:textId="3EFCEFEA" w:rsidR="008A0C59" w:rsidRPr="00C83685" w:rsidRDefault="0049108C"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hAnsi="Cambria Math"/>
                  </w:rPr>
                  <m:t>s</m:t>
                </m:r>
              </m:oMath>
            </m:oMathPara>
          </w:p>
        </w:tc>
        <w:tc>
          <w:tcPr>
            <w:tcW w:w="1082" w:type="pct"/>
            <w:gridSpan w:val="3"/>
            <w:tcBorders>
              <w:top w:val="nil"/>
              <w:left w:val="nil"/>
              <w:bottom w:val="nil"/>
              <w:right w:val="nil"/>
            </w:tcBorders>
            <w:shd w:val="clear" w:color="auto" w:fill="auto"/>
            <w:vAlign w:val="center"/>
          </w:tcPr>
          <w:p w14:paraId="54E47161" w14:textId="4665A745" w:rsidR="008A0C59" w:rsidRPr="00C83685"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Banco Central do Brasil e Microdados dos Censos Demográficos IBGE</w:t>
            </w:r>
          </w:p>
        </w:tc>
        <w:tc>
          <w:tcPr>
            <w:tcW w:w="938" w:type="pct"/>
            <w:gridSpan w:val="2"/>
            <w:tcBorders>
              <w:top w:val="nil"/>
              <w:left w:val="nil"/>
              <w:bottom w:val="nil"/>
              <w:right w:val="nil"/>
            </w:tcBorders>
            <w:shd w:val="clear" w:color="auto" w:fill="auto"/>
            <w:vAlign w:val="center"/>
          </w:tcPr>
          <w:p w14:paraId="5ADE734C" w14:textId="738D8FB4" w:rsidR="008A0C59" w:rsidRPr="00DF412E" w:rsidRDefault="008A0C59" w:rsidP="008A0C59">
            <w:pPr>
              <w:spacing w:after="0" w:line="240" w:lineRule="auto"/>
              <w:jc w:val="center"/>
              <w:rPr>
                <w:rFonts w:ascii="Times New Roman" w:eastAsia="Times New Roman" w:hAnsi="Times New Roman" w:cs="Times New Roman"/>
                <w:color w:val="000000"/>
                <w:kern w:val="0"/>
                <w:sz w:val="18"/>
                <w:szCs w:val="18"/>
                <w:lang w:val="en-US" w:eastAsia="pt-BR"/>
                <w14:ligatures w14:val="none"/>
              </w:rPr>
            </w:pPr>
            <w:r w:rsidRPr="00DF412E">
              <w:rPr>
                <w:rFonts w:ascii="Times New Roman" w:eastAsia="Times New Roman" w:hAnsi="Times New Roman" w:cs="Times New Roman"/>
                <w:color w:val="000000"/>
                <w:kern w:val="0"/>
                <w:sz w:val="18"/>
                <w:szCs w:val="18"/>
                <w:lang w:val="en-US" w:eastAsia="pt-BR"/>
                <w14:ligatures w14:val="none"/>
              </w:rPr>
              <w:t>Bloom et al. (2003)</w:t>
            </w:r>
            <w:r w:rsidR="00DF412E" w:rsidRPr="00DF412E">
              <w:rPr>
                <w:rFonts w:ascii="Times New Roman" w:eastAsia="Times New Roman" w:hAnsi="Times New Roman" w:cs="Times New Roman"/>
                <w:color w:val="000000"/>
                <w:kern w:val="0"/>
                <w:sz w:val="18"/>
                <w:szCs w:val="18"/>
                <w:lang w:val="en-US" w:eastAsia="pt-BR"/>
                <w14:ligatures w14:val="none"/>
              </w:rPr>
              <w:t>, Lee e</w:t>
            </w:r>
            <w:r w:rsidR="00DF412E">
              <w:rPr>
                <w:rFonts w:ascii="Times New Roman" w:eastAsia="Times New Roman" w:hAnsi="Times New Roman" w:cs="Times New Roman"/>
                <w:color w:val="000000"/>
                <w:kern w:val="0"/>
                <w:sz w:val="18"/>
                <w:szCs w:val="18"/>
                <w:lang w:val="en-US" w:eastAsia="pt-BR"/>
                <w14:ligatures w14:val="none"/>
              </w:rPr>
              <w:t xml:space="preserve"> Mason (2006)</w:t>
            </w:r>
            <w:r w:rsidR="00DE76B2">
              <w:rPr>
                <w:rFonts w:ascii="Times New Roman" w:eastAsia="Times New Roman" w:hAnsi="Times New Roman" w:cs="Times New Roman"/>
                <w:color w:val="000000"/>
                <w:kern w:val="0"/>
                <w:sz w:val="18"/>
                <w:szCs w:val="18"/>
                <w:lang w:val="en-US" w:eastAsia="pt-BR"/>
                <w14:ligatures w14:val="none"/>
              </w:rPr>
              <w:t>.</w:t>
            </w:r>
          </w:p>
        </w:tc>
      </w:tr>
      <w:tr w:rsidR="008A0C59" w:rsidRPr="00C83685" w14:paraId="65C78744" w14:textId="77777777" w:rsidTr="00657EC8">
        <w:trPr>
          <w:gridAfter w:val="2"/>
          <w:wAfter w:w="54" w:type="pct"/>
          <w:trHeight w:val="520"/>
        </w:trPr>
        <w:tc>
          <w:tcPr>
            <w:tcW w:w="1016" w:type="pct"/>
            <w:tcBorders>
              <w:top w:val="nil"/>
              <w:left w:val="nil"/>
              <w:bottom w:val="single" w:sz="4" w:space="0" w:color="auto"/>
              <w:right w:val="nil"/>
            </w:tcBorders>
            <w:shd w:val="clear" w:color="auto" w:fill="auto"/>
            <w:vAlign w:val="center"/>
          </w:tcPr>
          <w:p w14:paraId="21C92D94" w14:textId="46492752" w:rsidR="008A0C59" w:rsidRPr="00C83685" w:rsidRDefault="008A0C59" w:rsidP="008A0C59">
            <w:pPr>
              <w:spacing w:after="0" w:line="240" w:lineRule="auto"/>
              <w:rPr>
                <w:rFonts w:ascii="Times New Roman" w:eastAsia="Times New Roman" w:hAnsi="Times New Roman" w:cs="Times New Roman"/>
                <w:color w:val="000000"/>
                <w:kern w:val="0"/>
                <w:sz w:val="18"/>
                <w:szCs w:val="18"/>
                <w:lang w:eastAsia="pt-BR"/>
                <w14:ligatures w14:val="none"/>
              </w:rPr>
            </w:pPr>
            <w:r w:rsidRPr="007A2F19">
              <w:rPr>
                <w:rFonts w:ascii="Times New Roman" w:eastAsia="Times New Roman" w:hAnsi="Times New Roman" w:cs="Times New Roman"/>
                <w:color w:val="000000"/>
                <w:kern w:val="0"/>
                <w:sz w:val="18"/>
                <w:szCs w:val="18"/>
                <w:highlight w:val="yellow"/>
                <w:lang w:eastAsia="pt-BR"/>
                <w14:ligatures w14:val="none"/>
              </w:rPr>
              <w:lastRenderedPageBreak/>
              <w:t>Variação da Poupança per capita</w:t>
            </w:r>
          </w:p>
        </w:tc>
        <w:tc>
          <w:tcPr>
            <w:tcW w:w="1273" w:type="pct"/>
            <w:gridSpan w:val="2"/>
            <w:tcBorders>
              <w:top w:val="nil"/>
              <w:left w:val="nil"/>
              <w:bottom w:val="single" w:sz="4" w:space="0" w:color="auto"/>
              <w:right w:val="nil"/>
            </w:tcBorders>
            <w:shd w:val="clear" w:color="auto" w:fill="auto"/>
            <w:vAlign w:val="center"/>
          </w:tcPr>
          <w:p w14:paraId="3DE65A63" w14:textId="500E561F" w:rsidR="008A0C59" w:rsidRPr="00D270DA" w:rsidRDefault="008A0C59" w:rsidP="008A0C59">
            <w:pPr>
              <w:spacing w:after="0" w:line="240" w:lineRule="auto"/>
              <w:jc w:val="both"/>
              <w:rPr>
                <w:rFonts w:ascii="Times New Roman" w:eastAsia="Times New Roman" w:hAnsi="Times New Roman" w:cs="Times New Roman"/>
                <w:color w:val="000000"/>
                <w:kern w:val="0"/>
                <w:sz w:val="18"/>
                <w:szCs w:val="18"/>
                <w:highlight w:val="yellow"/>
                <w:lang w:eastAsia="pt-BR"/>
                <w14:ligatures w14:val="none"/>
              </w:rPr>
            </w:pPr>
            <w:r w:rsidRPr="00D270DA">
              <w:rPr>
                <w:rFonts w:ascii="Times New Roman" w:eastAsia="Times New Roman" w:hAnsi="Times New Roman" w:cs="Times New Roman"/>
                <w:color w:val="000000"/>
                <w:kern w:val="0"/>
                <w:sz w:val="18"/>
                <w:szCs w:val="18"/>
                <w:highlight w:val="yellow"/>
                <w:lang w:eastAsia="pt-BR"/>
                <w14:ligatures w14:val="none"/>
              </w:rPr>
              <w:t>Logaritmo natural aplicado à divisão entre a poupança per capita da AMC em 2010 pela poupança per capita da AMC em 2000.</w:t>
            </w:r>
          </w:p>
        </w:tc>
        <w:tc>
          <w:tcPr>
            <w:tcW w:w="637" w:type="pct"/>
            <w:gridSpan w:val="3"/>
            <w:tcBorders>
              <w:top w:val="nil"/>
              <w:left w:val="nil"/>
              <w:bottom w:val="single" w:sz="4" w:space="0" w:color="auto"/>
              <w:right w:val="nil"/>
            </w:tcBorders>
            <w:shd w:val="clear" w:color="auto" w:fill="auto"/>
            <w:vAlign w:val="center"/>
          </w:tcPr>
          <w:p w14:paraId="5ED980A5" w14:textId="33DF4753" w:rsidR="008A0C59" w:rsidRPr="00C83685" w:rsidRDefault="0081517C"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m:oMathPara>
              <m:oMath>
                <m:r>
                  <w:rPr>
                    <w:rFonts w:ascii="Cambria Math" w:hAnsi="Cambria Math"/>
                  </w:rPr>
                  <m:t>∆s</m:t>
                </m:r>
              </m:oMath>
            </m:oMathPara>
          </w:p>
        </w:tc>
        <w:tc>
          <w:tcPr>
            <w:tcW w:w="1082" w:type="pct"/>
            <w:gridSpan w:val="3"/>
            <w:tcBorders>
              <w:top w:val="nil"/>
              <w:left w:val="nil"/>
              <w:bottom w:val="single" w:sz="4" w:space="0" w:color="auto"/>
              <w:right w:val="nil"/>
            </w:tcBorders>
            <w:shd w:val="clear" w:color="auto" w:fill="auto"/>
            <w:vAlign w:val="center"/>
          </w:tcPr>
          <w:p w14:paraId="592935CC" w14:textId="6C1D6EDA" w:rsidR="008A0C59" w:rsidRPr="00C83685"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Banco Central do Brasil e Microdados dos Censos Demográficos IBGE</w:t>
            </w:r>
          </w:p>
        </w:tc>
        <w:tc>
          <w:tcPr>
            <w:tcW w:w="938" w:type="pct"/>
            <w:gridSpan w:val="2"/>
            <w:tcBorders>
              <w:top w:val="nil"/>
              <w:left w:val="nil"/>
              <w:bottom w:val="single" w:sz="4" w:space="0" w:color="auto"/>
              <w:right w:val="nil"/>
            </w:tcBorders>
            <w:shd w:val="clear" w:color="auto" w:fill="auto"/>
            <w:vAlign w:val="center"/>
          </w:tcPr>
          <w:p w14:paraId="1D01B69E" w14:textId="31931B5D" w:rsidR="008A0C59" w:rsidRPr="00C83685" w:rsidRDefault="008A0C59" w:rsidP="008A0C59">
            <w:pPr>
              <w:spacing w:after="0" w:line="240" w:lineRule="auto"/>
              <w:jc w:val="center"/>
              <w:rPr>
                <w:rFonts w:ascii="Times New Roman" w:eastAsia="Times New Roman" w:hAnsi="Times New Roman" w:cs="Times New Roman"/>
                <w:color w:val="000000"/>
                <w:kern w:val="0"/>
                <w:sz w:val="18"/>
                <w:szCs w:val="18"/>
                <w:lang w:eastAsia="pt-BR"/>
                <w14:ligatures w14:val="none"/>
              </w:rPr>
            </w:pPr>
            <w:r>
              <w:rPr>
                <w:rFonts w:ascii="Times New Roman" w:eastAsia="Times New Roman" w:hAnsi="Times New Roman" w:cs="Times New Roman"/>
                <w:color w:val="000000"/>
                <w:kern w:val="0"/>
                <w:sz w:val="18"/>
                <w:szCs w:val="18"/>
                <w:lang w:eastAsia="pt-BR"/>
                <w14:ligatures w14:val="none"/>
              </w:rPr>
              <w:t>Bloom et al. (20023)</w:t>
            </w:r>
            <w:r w:rsidR="00DE76B2">
              <w:rPr>
                <w:rFonts w:ascii="Times New Roman" w:eastAsia="Times New Roman" w:hAnsi="Times New Roman" w:cs="Times New Roman"/>
                <w:color w:val="000000"/>
                <w:kern w:val="0"/>
                <w:sz w:val="18"/>
                <w:szCs w:val="18"/>
                <w:lang w:eastAsia="pt-BR"/>
                <w14:ligatures w14:val="none"/>
              </w:rPr>
              <w:t xml:space="preserve"> e Mason (2007).</w:t>
            </w:r>
          </w:p>
        </w:tc>
      </w:tr>
    </w:tbl>
    <w:p w14:paraId="329D1A90" w14:textId="75BD4009" w:rsidR="00AC32D5" w:rsidRPr="005C6CF0" w:rsidRDefault="00AC32D5" w:rsidP="00AC32D5">
      <w:pPr>
        <w:pStyle w:val="SemEspaamento"/>
        <w:jc w:val="both"/>
        <w:rPr>
          <w:rFonts w:ascii="Times New Roman" w:hAnsi="Times New Roman" w:cs="Times New Roman"/>
          <w:sz w:val="20"/>
          <w:szCs w:val="20"/>
        </w:rPr>
      </w:pPr>
      <w:r w:rsidRPr="005C6CF0">
        <w:rPr>
          <w:rFonts w:ascii="Times New Roman" w:hAnsi="Times New Roman" w:cs="Times New Roman"/>
          <w:sz w:val="20"/>
          <w:szCs w:val="20"/>
        </w:rPr>
        <w:t>Fonte:</w:t>
      </w:r>
      <w:r>
        <w:rPr>
          <w:rFonts w:ascii="Times New Roman" w:hAnsi="Times New Roman" w:cs="Times New Roman"/>
          <w:sz w:val="20"/>
          <w:szCs w:val="20"/>
        </w:rPr>
        <w:t xml:space="preserve"> elaboração própria (202</w:t>
      </w:r>
      <w:r w:rsidR="00A941BE">
        <w:rPr>
          <w:rFonts w:ascii="Times New Roman" w:hAnsi="Times New Roman" w:cs="Times New Roman"/>
          <w:sz w:val="20"/>
          <w:szCs w:val="20"/>
        </w:rPr>
        <w:t>4</w:t>
      </w:r>
      <w:r>
        <w:rPr>
          <w:rFonts w:ascii="Times New Roman" w:hAnsi="Times New Roman" w:cs="Times New Roman"/>
          <w:sz w:val="20"/>
          <w:szCs w:val="20"/>
        </w:rPr>
        <w:t>).</w:t>
      </w:r>
    </w:p>
    <w:p w14:paraId="26544D1A" w14:textId="02637FE8" w:rsidR="007614B7" w:rsidRDefault="00AC32D5" w:rsidP="000B1D30">
      <w:pPr>
        <w:spacing w:after="0" w:line="240" w:lineRule="auto"/>
        <w:contextualSpacing/>
        <w:rPr>
          <w:rFonts w:ascii="Calibri" w:eastAsia="Times New Roman" w:hAnsi="Calibri" w:cs="Calibri"/>
          <w:kern w:val="0"/>
          <w:lang w:eastAsia="pt-BR"/>
          <w14:ligatures w14:val="none"/>
        </w:rPr>
      </w:pPr>
      <w:r w:rsidRPr="005C6CF0">
        <w:rPr>
          <w:rFonts w:ascii="Times New Roman" w:hAnsi="Times New Roman" w:cs="Times New Roman"/>
          <w:sz w:val="20"/>
          <w:szCs w:val="20"/>
        </w:rPr>
        <w:t>Nota</w:t>
      </w:r>
      <w:r w:rsidRPr="0096009D">
        <w:rPr>
          <w:rFonts w:ascii="Times New Roman" w:eastAsia="Times New Roman" w:hAnsi="Times New Roman" w:cs="Times New Roman"/>
          <w:color w:val="000000"/>
          <w:kern w:val="0"/>
          <w:sz w:val="18"/>
          <w:szCs w:val="18"/>
          <w:vertAlign w:val="superscript"/>
          <w:lang w:eastAsia="pt-BR"/>
          <w14:ligatures w14:val="none"/>
        </w:rPr>
        <w:t>1</w:t>
      </w:r>
      <w:r w:rsidRPr="005C6CF0">
        <w:rPr>
          <w:rFonts w:ascii="Times New Roman" w:hAnsi="Times New Roman" w:cs="Times New Roman"/>
          <w:sz w:val="20"/>
          <w:szCs w:val="20"/>
        </w:rPr>
        <w:t xml:space="preserve">: </w:t>
      </w:r>
      <w:r w:rsidR="007614B7" w:rsidRPr="00CC3454">
        <w:rPr>
          <w:rFonts w:ascii="Calibri" w:eastAsia="Times New Roman" w:hAnsi="Calibri" w:cs="Calibri"/>
          <w:kern w:val="0"/>
          <w:lang w:eastAsia="pt-BR"/>
          <w14:ligatures w14:val="none"/>
        </w:rPr>
        <w:t>Número de crianças que não deverão sobreviver ao primeiro ano de vida em cada 1000 crianças nascidas vivas.</w:t>
      </w:r>
    </w:p>
    <w:p w14:paraId="28D8A2AD" w14:textId="30326854" w:rsidR="000B1D30" w:rsidRPr="000B1D30" w:rsidRDefault="0088083F" w:rsidP="000B1D30">
      <w:pPr>
        <w:spacing w:after="0" w:line="240" w:lineRule="auto"/>
        <w:contextualSpacing/>
        <w:jc w:val="both"/>
        <w:rPr>
          <w:rFonts w:ascii="Calibri" w:eastAsia="Times New Roman" w:hAnsi="Calibri" w:cs="Calibri"/>
          <w:kern w:val="0"/>
          <w:lang w:eastAsia="pt-BR"/>
          <w14:ligatures w14:val="none"/>
        </w:rPr>
      </w:pPr>
      <w:r w:rsidRPr="005C6CF0">
        <w:rPr>
          <w:rFonts w:ascii="Times New Roman" w:hAnsi="Times New Roman" w:cs="Times New Roman"/>
          <w:sz w:val="20"/>
          <w:szCs w:val="20"/>
        </w:rPr>
        <w:t>Nota</w:t>
      </w:r>
      <w:r w:rsidR="00F76E85">
        <w:rPr>
          <w:rFonts w:ascii="Times New Roman" w:eastAsia="Times New Roman" w:hAnsi="Times New Roman" w:cs="Times New Roman"/>
          <w:color w:val="000000"/>
          <w:kern w:val="0"/>
          <w:sz w:val="18"/>
          <w:szCs w:val="18"/>
          <w:vertAlign w:val="superscript"/>
          <w:lang w:eastAsia="pt-BR"/>
          <w14:ligatures w14:val="none"/>
        </w:rPr>
        <w:t>2</w:t>
      </w:r>
      <w:r w:rsidRPr="005C6CF0">
        <w:rPr>
          <w:rFonts w:ascii="Times New Roman" w:hAnsi="Times New Roman" w:cs="Times New Roman"/>
          <w:sz w:val="20"/>
          <w:szCs w:val="20"/>
        </w:rPr>
        <w:t>:</w:t>
      </w:r>
      <w:r w:rsidR="000B1D30">
        <w:rPr>
          <w:rFonts w:ascii="Times New Roman" w:hAnsi="Times New Roman" w:cs="Times New Roman"/>
          <w:sz w:val="20"/>
          <w:szCs w:val="20"/>
        </w:rPr>
        <w:t xml:space="preserve"> </w:t>
      </w:r>
      <w:r w:rsidR="000B1D30" w:rsidRPr="000B1D30">
        <w:rPr>
          <w:rFonts w:ascii="Calibri" w:eastAsia="Times New Roman" w:hAnsi="Calibri" w:cs="Calibri"/>
          <w:kern w:val="0"/>
          <w:lang w:eastAsia="pt-BR"/>
          <w14:ligatures w14:val="none"/>
        </w:rPr>
        <w:t>Número médio de filhos que uma mulher deverá ter ao terminar o período reprodutivo (15 a 49 anos de idade).</w:t>
      </w:r>
    </w:p>
    <w:p w14:paraId="4D214AED" w14:textId="63D02322" w:rsidR="000B1D30" w:rsidRDefault="0088083F" w:rsidP="007614B7">
      <w:pPr>
        <w:pStyle w:val="SemEspaamento"/>
        <w:jc w:val="both"/>
        <w:rPr>
          <w:rFonts w:ascii="Times New Roman" w:hAnsi="Times New Roman" w:cs="Times New Roman"/>
          <w:sz w:val="20"/>
          <w:szCs w:val="20"/>
        </w:rPr>
      </w:pPr>
      <w:r w:rsidRPr="005C6CF0">
        <w:rPr>
          <w:rFonts w:ascii="Times New Roman" w:hAnsi="Times New Roman" w:cs="Times New Roman"/>
          <w:sz w:val="20"/>
          <w:szCs w:val="20"/>
        </w:rPr>
        <w:t xml:space="preserve"> </w:t>
      </w:r>
    </w:p>
    <w:p w14:paraId="5B9E15CD" w14:textId="503ABC0B" w:rsidR="006F536C" w:rsidRDefault="006F536C" w:rsidP="006F536C">
      <w:pPr>
        <w:pStyle w:val="SemEspaamento"/>
        <w:jc w:val="both"/>
        <w:rPr>
          <w:rFonts w:ascii="Times New Roman" w:hAnsi="Times New Roman" w:cs="Times New Roman"/>
          <w:sz w:val="20"/>
          <w:szCs w:val="20"/>
        </w:rPr>
      </w:pPr>
      <w:r w:rsidRPr="005C6CF0">
        <w:rPr>
          <w:rFonts w:ascii="Times New Roman" w:hAnsi="Times New Roman" w:cs="Times New Roman"/>
          <w:sz w:val="20"/>
          <w:szCs w:val="20"/>
        </w:rPr>
        <w:t>Nota</w:t>
      </w:r>
      <w:r>
        <w:rPr>
          <w:rFonts w:ascii="Times New Roman" w:eastAsia="Times New Roman" w:hAnsi="Times New Roman" w:cs="Times New Roman"/>
          <w:color w:val="000000"/>
          <w:kern w:val="0"/>
          <w:sz w:val="18"/>
          <w:szCs w:val="18"/>
          <w:vertAlign w:val="superscript"/>
          <w:lang w:eastAsia="pt-BR"/>
          <w14:ligatures w14:val="none"/>
        </w:rPr>
        <w:t>3,</w:t>
      </w:r>
      <w:r w:rsidRPr="005C6CF0">
        <w:rPr>
          <w:rFonts w:ascii="Times New Roman" w:hAnsi="Times New Roman" w:cs="Times New Roman"/>
          <w:sz w:val="20"/>
          <w:szCs w:val="20"/>
        </w:rPr>
        <w:t xml:space="preserve">: </w:t>
      </w:r>
      <w:r>
        <w:rPr>
          <w:rFonts w:ascii="Times New Roman" w:hAnsi="Times New Roman" w:cs="Times New Roman"/>
          <w:sz w:val="20"/>
          <w:szCs w:val="20"/>
        </w:rPr>
        <w:t xml:space="preserve">Os dados de poupança existem desde </w:t>
      </w:r>
      <w:r w:rsidR="005B070E">
        <w:rPr>
          <w:rFonts w:ascii="Times New Roman" w:hAnsi="Times New Roman" w:cs="Times New Roman"/>
          <w:sz w:val="20"/>
          <w:szCs w:val="20"/>
        </w:rPr>
        <w:t>julho de 1988</w:t>
      </w:r>
      <w:r>
        <w:rPr>
          <w:rFonts w:ascii="Times New Roman" w:hAnsi="Times New Roman" w:cs="Times New Roman"/>
          <w:sz w:val="20"/>
          <w:szCs w:val="20"/>
        </w:rPr>
        <w:t xml:space="preserve"> no Banco Central do Brasil</w:t>
      </w:r>
    </w:p>
    <w:p w14:paraId="374E2A3B" w14:textId="0F2FFDC3" w:rsidR="005B070E" w:rsidRDefault="00000000" w:rsidP="006F536C">
      <w:pPr>
        <w:pStyle w:val="SemEspaamento"/>
        <w:jc w:val="both"/>
        <w:rPr>
          <w:rFonts w:ascii="Times New Roman" w:hAnsi="Times New Roman" w:cs="Times New Roman"/>
          <w:sz w:val="20"/>
          <w:szCs w:val="20"/>
        </w:rPr>
      </w:pPr>
      <w:hyperlink r:id="rId4" w:history="1">
        <w:r w:rsidR="005B070E" w:rsidRPr="00124872">
          <w:rPr>
            <w:rStyle w:val="Hyperlink"/>
            <w:rFonts w:ascii="Times New Roman" w:hAnsi="Times New Roman" w:cs="Times New Roman"/>
            <w:sz w:val="20"/>
            <w:szCs w:val="20"/>
          </w:rPr>
          <w:t>https://basedosdados.org/dataset/84bb75ae-5955-4bbe-8bb6-2d644cae0cee?table=14906976-ff12-4210-b08c-45a1c843a76a</w:t>
        </w:r>
      </w:hyperlink>
    </w:p>
    <w:p w14:paraId="699901D4" w14:textId="77777777" w:rsidR="005B070E" w:rsidRDefault="005B070E" w:rsidP="006F536C">
      <w:pPr>
        <w:pStyle w:val="SemEspaamento"/>
        <w:jc w:val="both"/>
        <w:rPr>
          <w:rFonts w:ascii="Times New Roman" w:hAnsi="Times New Roman" w:cs="Times New Roman"/>
          <w:sz w:val="20"/>
          <w:szCs w:val="20"/>
        </w:rPr>
      </w:pPr>
    </w:p>
    <w:p w14:paraId="7AE2DFB6" w14:textId="22E4B49F" w:rsidR="005B070E" w:rsidRDefault="00000000" w:rsidP="006F536C">
      <w:pPr>
        <w:pStyle w:val="SemEspaamento"/>
        <w:jc w:val="both"/>
        <w:rPr>
          <w:rFonts w:ascii="Times New Roman" w:hAnsi="Times New Roman" w:cs="Times New Roman"/>
          <w:sz w:val="20"/>
          <w:szCs w:val="20"/>
        </w:rPr>
      </w:pPr>
      <w:hyperlink r:id="rId5" w:history="1">
        <w:r w:rsidR="005B070E" w:rsidRPr="00124872">
          <w:rPr>
            <w:rStyle w:val="Hyperlink"/>
            <w:rFonts w:ascii="Times New Roman" w:hAnsi="Times New Roman" w:cs="Times New Roman"/>
            <w:sz w:val="20"/>
            <w:szCs w:val="20"/>
          </w:rPr>
          <w:t>https://www.bcb.gov.br/estatisticas/estatisticabancariamunicipios</w:t>
        </w:r>
      </w:hyperlink>
      <w:r w:rsidR="005B070E">
        <w:rPr>
          <w:rFonts w:ascii="Times New Roman" w:hAnsi="Times New Roman" w:cs="Times New Roman"/>
          <w:sz w:val="20"/>
          <w:szCs w:val="20"/>
        </w:rPr>
        <w:t xml:space="preserve"> </w:t>
      </w:r>
    </w:p>
    <w:p w14:paraId="0AD87A55" w14:textId="77777777" w:rsidR="005B070E" w:rsidRDefault="005B070E" w:rsidP="006F536C">
      <w:pPr>
        <w:pStyle w:val="SemEspaamento"/>
        <w:jc w:val="both"/>
        <w:rPr>
          <w:rFonts w:ascii="Times New Roman" w:hAnsi="Times New Roman" w:cs="Times New Roman"/>
          <w:sz w:val="20"/>
          <w:szCs w:val="20"/>
        </w:rPr>
      </w:pPr>
    </w:p>
    <w:sectPr w:rsidR="005B070E" w:rsidSect="000B1D30">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D5"/>
    <w:rsid w:val="00024841"/>
    <w:rsid w:val="000308A7"/>
    <w:rsid w:val="00031DB2"/>
    <w:rsid w:val="000545EE"/>
    <w:rsid w:val="00083461"/>
    <w:rsid w:val="00094F56"/>
    <w:rsid w:val="000A2A0F"/>
    <w:rsid w:val="000A3A17"/>
    <w:rsid w:val="000A3C9A"/>
    <w:rsid w:val="000B1D30"/>
    <w:rsid w:val="000B565A"/>
    <w:rsid w:val="000C22F5"/>
    <w:rsid w:val="000F3F06"/>
    <w:rsid w:val="00113041"/>
    <w:rsid w:val="00116CDA"/>
    <w:rsid w:val="00124706"/>
    <w:rsid w:val="001320C3"/>
    <w:rsid w:val="00136C11"/>
    <w:rsid w:val="00153597"/>
    <w:rsid w:val="001651A0"/>
    <w:rsid w:val="00167F1D"/>
    <w:rsid w:val="001D0759"/>
    <w:rsid w:val="00213454"/>
    <w:rsid w:val="00250179"/>
    <w:rsid w:val="00272D64"/>
    <w:rsid w:val="00297248"/>
    <w:rsid w:val="002E255B"/>
    <w:rsid w:val="002E4FE1"/>
    <w:rsid w:val="003A63AA"/>
    <w:rsid w:val="00450882"/>
    <w:rsid w:val="00452F1F"/>
    <w:rsid w:val="00463716"/>
    <w:rsid w:val="0047661C"/>
    <w:rsid w:val="0049108C"/>
    <w:rsid w:val="004F66B3"/>
    <w:rsid w:val="00544BDA"/>
    <w:rsid w:val="005B070E"/>
    <w:rsid w:val="00615CA3"/>
    <w:rsid w:val="00636C2A"/>
    <w:rsid w:val="00644EB1"/>
    <w:rsid w:val="006457E1"/>
    <w:rsid w:val="00657EC8"/>
    <w:rsid w:val="0066477B"/>
    <w:rsid w:val="006743D9"/>
    <w:rsid w:val="006926B2"/>
    <w:rsid w:val="006A0144"/>
    <w:rsid w:val="006F536C"/>
    <w:rsid w:val="00742CF4"/>
    <w:rsid w:val="007614B7"/>
    <w:rsid w:val="007A2F19"/>
    <w:rsid w:val="007B6362"/>
    <w:rsid w:val="007B7D48"/>
    <w:rsid w:val="0081517C"/>
    <w:rsid w:val="0088083F"/>
    <w:rsid w:val="008A0C59"/>
    <w:rsid w:val="008A6375"/>
    <w:rsid w:val="008A69B3"/>
    <w:rsid w:val="00913FD5"/>
    <w:rsid w:val="0094489F"/>
    <w:rsid w:val="00953744"/>
    <w:rsid w:val="00967FE2"/>
    <w:rsid w:val="00992A83"/>
    <w:rsid w:val="009D4D5E"/>
    <w:rsid w:val="00A07368"/>
    <w:rsid w:val="00A4258F"/>
    <w:rsid w:val="00A941BE"/>
    <w:rsid w:val="00AA39A1"/>
    <w:rsid w:val="00AB6633"/>
    <w:rsid w:val="00AC32D5"/>
    <w:rsid w:val="00AC5AF5"/>
    <w:rsid w:val="00B537D4"/>
    <w:rsid w:val="00B918A4"/>
    <w:rsid w:val="00BA7DC9"/>
    <w:rsid w:val="00C10B5F"/>
    <w:rsid w:val="00C929B8"/>
    <w:rsid w:val="00CC3454"/>
    <w:rsid w:val="00CE3665"/>
    <w:rsid w:val="00D04AD8"/>
    <w:rsid w:val="00D11987"/>
    <w:rsid w:val="00D270DA"/>
    <w:rsid w:val="00D54696"/>
    <w:rsid w:val="00DB52EE"/>
    <w:rsid w:val="00DE76B2"/>
    <w:rsid w:val="00DF412E"/>
    <w:rsid w:val="00E12C67"/>
    <w:rsid w:val="00E3286E"/>
    <w:rsid w:val="00E540CB"/>
    <w:rsid w:val="00E77361"/>
    <w:rsid w:val="00E85489"/>
    <w:rsid w:val="00E96921"/>
    <w:rsid w:val="00EA76F0"/>
    <w:rsid w:val="00EE6BD0"/>
    <w:rsid w:val="00F36351"/>
    <w:rsid w:val="00F5698C"/>
    <w:rsid w:val="00F76E85"/>
    <w:rsid w:val="00F77196"/>
    <w:rsid w:val="00F920DC"/>
    <w:rsid w:val="00FF4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11BC"/>
  <w15:chartTrackingRefBased/>
  <w15:docId w15:val="{35677AE6-9CED-4028-958E-D0191CA3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EC8"/>
    <w:pPr>
      <w:spacing w:line="259" w:lineRule="auto"/>
    </w:pPr>
    <w:rPr>
      <w:sz w:val="22"/>
      <w:szCs w:val="22"/>
    </w:rPr>
  </w:style>
  <w:style w:type="paragraph" w:styleId="Ttulo1">
    <w:name w:val="heading 1"/>
    <w:basedOn w:val="Normal"/>
    <w:next w:val="Normal"/>
    <w:link w:val="Ttulo1Char"/>
    <w:uiPriority w:val="9"/>
    <w:qFormat/>
    <w:rsid w:val="00AC32D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C32D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C32D5"/>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C32D5"/>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har"/>
    <w:uiPriority w:val="9"/>
    <w:semiHidden/>
    <w:unhideWhenUsed/>
    <w:qFormat/>
    <w:rsid w:val="00AC32D5"/>
    <w:pPr>
      <w:keepNext/>
      <w:keepLines/>
      <w:spacing w:before="80" w:after="40" w:line="278" w:lineRule="auto"/>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har"/>
    <w:uiPriority w:val="9"/>
    <w:semiHidden/>
    <w:unhideWhenUsed/>
    <w:qFormat/>
    <w:rsid w:val="00AC32D5"/>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har"/>
    <w:uiPriority w:val="9"/>
    <w:semiHidden/>
    <w:unhideWhenUsed/>
    <w:qFormat/>
    <w:rsid w:val="00AC32D5"/>
    <w:pPr>
      <w:keepNext/>
      <w:keepLines/>
      <w:spacing w:before="40" w:after="0" w:line="278" w:lineRule="auto"/>
      <w:outlineLvl w:val="6"/>
    </w:pPr>
    <w:rPr>
      <w:rFonts w:eastAsiaTheme="majorEastAsia"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AC32D5"/>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har"/>
    <w:uiPriority w:val="9"/>
    <w:semiHidden/>
    <w:unhideWhenUsed/>
    <w:qFormat/>
    <w:rsid w:val="00AC32D5"/>
    <w:pPr>
      <w:keepNext/>
      <w:keepLines/>
      <w:spacing w:after="0" w:line="278" w:lineRule="auto"/>
      <w:outlineLvl w:val="8"/>
    </w:pPr>
    <w:rPr>
      <w:rFonts w:eastAsiaTheme="majorEastAsia" w:cstheme="majorBidi"/>
      <w:color w:val="272727" w:themeColor="text1" w:themeTint="D8"/>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32D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C32D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C32D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C32D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C32D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C32D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C32D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C32D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C32D5"/>
    <w:rPr>
      <w:rFonts w:eastAsiaTheme="majorEastAsia" w:cstheme="majorBidi"/>
      <w:color w:val="272727" w:themeColor="text1" w:themeTint="D8"/>
    </w:rPr>
  </w:style>
  <w:style w:type="paragraph" w:styleId="Ttulo">
    <w:name w:val="Title"/>
    <w:basedOn w:val="Normal"/>
    <w:next w:val="Normal"/>
    <w:link w:val="TtuloChar"/>
    <w:uiPriority w:val="10"/>
    <w:qFormat/>
    <w:rsid w:val="00AC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32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C32D5"/>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C32D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C32D5"/>
    <w:pPr>
      <w:spacing w:before="160" w:line="278" w:lineRule="auto"/>
      <w:jc w:val="center"/>
    </w:pPr>
    <w:rPr>
      <w:i/>
      <w:iCs/>
      <w:color w:val="404040" w:themeColor="text1" w:themeTint="BF"/>
      <w:sz w:val="24"/>
      <w:szCs w:val="24"/>
    </w:rPr>
  </w:style>
  <w:style w:type="character" w:customStyle="1" w:styleId="CitaoChar">
    <w:name w:val="Citação Char"/>
    <w:basedOn w:val="Fontepargpadro"/>
    <w:link w:val="Citao"/>
    <w:uiPriority w:val="29"/>
    <w:rsid w:val="00AC32D5"/>
    <w:rPr>
      <w:i/>
      <w:iCs/>
      <w:color w:val="404040" w:themeColor="text1" w:themeTint="BF"/>
    </w:rPr>
  </w:style>
  <w:style w:type="paragraph" w:styleId="PargrafodaLista">
    <w:name w:val="List Paragraph"/>
    <w:basedOn w:val="Normal"/>
    <w:uiPriority w:val="34"/>
    <w:qFormat/>
    <w:rsid w:val="00AC32D5"/>
    <w:pPr>
      <w:spacing w:line="278" w:lineRule="auto"/>
      <w:ind w:left="720"/>
      <w:contextualSpacing/>
    </w:pPr>
    <w:rPr>
      <w:sz w:val="24"/>
      <w:szCs w:val="24"/>
    </w:rPr>
  </w:style>
  <w:style w:type="character" w:styleId="nfaseIntensa">
    <w:name w:val="Intense Emphasis"/>
    <w:basedOn w:val="Fontepargpadro"/>
    <w:uiPriority w:val="21"/>
    <w:qFormat/>
    <w:rsid w:val="00AC32D5"/>
    <w:rPr>
      <w:i/>
      <w:iCs/>
      <w:color w:val="0F4761" w:themeColor="accent1" w:themeShade="BF"/>
    </w:rPr>
  </w:style>
  <w:style w:type="paragraph" w:styleId="CitaoIntensa">
    <w:name w:val="Intense Quote"/>
    <w:basedOn w:val="Normal"/>
    <w:next w:val="Normal"/>
    <w:link w:val="CitaoIntensaChar"/>
    <w:uiPriority w:val="30"/>
    <w:qFormat/>
    <w:rsid w:val="00AC32D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oIntensaChar">
    <w:name w:val="Citação Intensa Char"/>
    <w:basedOn w:val="Fontepargpadro"/>
    <w:link w:val="CitaoIntensa"/>
    <w:uiPriority w:val="30"/>
    <w:rsid w:val="00AC32D5"/>
    <w:rPr>
      <w:i/>
      <w:iCs/>
      <w:color w:val="0F4761" w:themeColor="accent1" w:themeShade="BF"/>
    </w:rPr>
  </w:style>
  <w:style w:type="character" w:styleId="RefernciaIntensa">
    <w:name w:val="Intense Reference"/>
    <w:basedOn w:val="Fontepargpadro"/>
    <w:uiPriority w:val="32"/>
    <w:qFormat/>
    <w:rsid w:val="00AC32D5"/>
    <w:rPr>
      <w:b/>
      <w:bCs/>
      <w:smallCaps/>
      <w:color w:val="0F4761" w:themeColor="accent1" w:themeShade="BF"/>
      <w:spacing w:val="5"/>
    </w:rPr>
  </w:style>
  <w:style w:type="paragraph" w:styleId="SemEspaamento">
    <w:name w:val="No Spacing"/>
    <w:uiPriority w:val="1"/>
    <w:qFormat/>
    <w:rsid w:val="00AC32D5"/>
    <w:pPr>
      <w:spacing w:after="0" w:line="240" w:lineRule="auto"/>
    </w:pPr>
    <w:rPr>
      <w:sz w:val="22"/>
      <w:szCs w:val="22"/>
    </w:rPr>
  </w:style>
  <w:style w:type="paragraph" w:styleId="NormalWeb">
    <w:name w:val="Normal (Web)"/>
    <w:basedOn w:val="Normal"/>
    <w:uiPriority w:val="99"/>
    <w:semiHidden/>
    <w:unhideWhenUsed/>
    <w:rsid w:val="00AB663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5B070E"/>
    <w:rPr>
      <w:color w:val="467886" w:themeColor="hyperlink"/>
      <w:u w:val="single"/>
    </w:rPr>
  </w:style>
  <w:style w:type="character" w:styleId="MenoPendente">
    <w:name w:val="Unresolved Mention"/>
    <w:basedOn w:val="Fontepargpadro"/>
    <w:uiPriority w:val="99"/>
    <w:semiHidden/>
    <w:unhideWhenUsed/>
    <w:rsid w:val="005B070E"/>
    <w:rPr>
      <w:color w:val="605E5C"/>
      <w:shd w:val="clear" w:color="auto" w:fill="E1DFDD"/>
    </w:rPr>
  </w:style>
  <w:style w:type="character" w:styleId="TextodoEspaoReservado">
    <w:name w:val="Placeholder Text"/>
    <w:basedOn w:val="Fontepargpadro"/>
    <w:uiPriority w:val="99"/>
    <w:semiHidden/>
    <w:rsid w:val="000F3F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942593">
      <w:bodyDiv w:val="1"/>
      <w:marLeft w:val="0"/>
      <w:marRight w:val="0"/>
      <w:marTop w:val="0"/>
      <w:marBottom w:val="0"/>
      <w:divBdr>
        <w:top w:val="none" w:sz="0" w:space="0" w:color="auto"/>
        <w:left w:val="none" w:sz="0" w:space="0" w:color="auto"/>
        <w:bottom w:val="none" w:sz="0" w:space="0" w:color="auto"/>
        <w:right w:val="none" w:sz="0" w:space="0" w:color="auto"/>
      </w:divBdr>
    </w:div>
    <w:div w:id="687636045">
      <w:bodyDiv w:val="1"/>
      <w:marLeft w:val="0"/>
      <w:marRight w:val="0"/>
      <w:marTop w:val="0"/>
      <w:marBottom w:val="0"/>
      <w:divBdr>
        <w:top w:val="none" w:sz="0" w:space="0" w:color="auto"/>
        <w:left w:val="none" w:sz="0" w:space="0" w:color="auto"/>
        <w:bottom w:val="none" w:sz="0" w:space="0" w:color="auto"/>
        <w:right w:val="none" w:sz="0" w:space="0" w:color="auto"/>
      </w:divBdr>
    </w:div>
    <w:div w:id="963272460">
      <w:bodyDiv w:val="1"/>
      <w:marLeft w:val="0"/>
      <w:marRight w:val="0"/>
      <w:marTop w:val="0"/>
      <w:marBottom w:val="0"/>
      <w:divBdr>
        <w:top w:val="none" w:sz="0" w:space="0" w:color="auto"/>
        <w:left w:val="none" w:sz="0" w:space="0" w:color="auto"/>
        <w:bottom w:val="none" w:sz="0" w:space="0" w:color="auto"/>
        <w:right w:val="none" w:sz="0" w:space="0" w:color="auto"/>
      </w:divBdr>
    </w:div>
    <w:div w:id="1888761243">
      <w:bodyDiv w:val="1"/>
      <w:marLeft w:val="0"/>
      <w:marRight w:val="0"/>
      <w:marTop w:val="0"/>
      <w:marBottom w:val="0"/>
      <w:divBdr>
        <w:top w:val="none" w:sz="0" w:space="0" w:color="auto"/>
        <w:left w:val="none" w:sz="0" w:space="0" w:color="auto"/>
        <w:bottom w:val="none" w:sz="0" w:space="0" w:color="auto"/>
        <w:right w:val="none" w:sz="0" w:space="0" w:color="auto"/>
      </w:divBdr>
    </w:div>
    <w:div w:id="192218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cb.gov.br/estatisticas/estatisticabancariamunicipios" TargetMode="External"/><Relationship Id="rId4" Type="http://schemas.openxmlformats.org/officeDocument/2006/relationships/hyperlink" Target="https://basedosdados.org/dataset/84bb75ae-5955-4bbe-8bb6-2d644cae0cee?table=14906976-ff12-4210-b08c-45a1c843a76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566</Words>
  <Characters>3060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ZWILLING STAMPE</dc:creator>
  <cp:keywords/>
  <dc:description/>
  <cp:lastModifiedBy>MARIANNE ZWILLING STAMPE</cp:lastModifiedBy>
  <cp:revision>30</cp:revision>
  <dcterms:created xsi:type="dcterms:W3CDTF">2024-08-31T15:37:00Z</dcterms:created>
  <dcterms:modified xsi:type="dcterms:W3CDTF">2024-09-02T01:20:00Z</dcterms:modified>
</cp:coreProperties>
</file>