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arxiv</w:t>
      </w:r>
      <w:r>
        <w:t xml:space="preserve"> </w:t>
      </w:r>
      <w:r>
        <w:t xml:space="preserve">style</w:t>
      </w:r>
    </w:p>
    <w:p>
      <w:pPr>
        <w:pStyle w:val="Compact"/>
        <w:pStyle w:val="Abstract"/>
      </w:pPr>
      <w:r>
        <w:t xml:space="preserve">Enter</w:t>
      </w:r>
      <w:r>
        <w:t xml:space="preserve"> </w:t>
      </w:r>
      <w:r>
        <w:t xml:space="preserve">the</w:t>
      </w:r>
      <w:r>
        <w:t xml:space="preserve"> </w:t>
      </w: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your</w:t>
      </w:r>
      <w:r>
        <w:t xml:space="preserve"> </w:t>
      </w:r>
      <w:r>
        <w:t xml:space="preserve">abstract</w:t>
      </w:r>
      <w:r>
        <w:t xml:space="preserve"> </w:t>
      </w:r>
      <w:r>
        <w:t xml:space="preserve">here.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headings-first-level"/>
      <w:r>
        <w:t xml:space="preserve">Headings: first level</w:t>
      </w:r>
      <w:bookmarkEnd w:id="21"/>
    </w:p>
    <w:p>
      <w:pPr>
        <w:pStyle w:val="FirstParagraph"/>
      </w:pPr>
    </w:p>
    <w:p>
      <w:pPr>
        <w:pStyle w:val="BodyText"/>
      </w:pPr>
      <w:r>
        <w:t xml:space="preserve">See Section</w:t>
      </w:r>
      <w:r>
        <w:t xml:space="preserve"> </w:t>
      </w:r>
      <w:r>
        <w:t xml:space="preserve">.</w:t>
      </w:r>
    </w:p>
    <w:p>
      <w:pPr>
        <w:pStyle w:val="Heading2"/>
      </w:pPr>
      <w:bookmarkStart w:id="22" w:name="headings-second-level"/>
      <w:r>
        <w:t xml:space="preserve">Headings: second level</w:t>
      </w:r>
      <w:bookmarkEnd w:id="22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ξ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=</m:t>
          </m:r>
          <m:r>
            <m:t>i</m:t>
          </m:r>
          <m:r>
            <m:t>,</m:t>
          </m:r>
          <m:sSub>
            <m:e>
              <m:r>
                <m:t>x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r>
            <m:t>j</m:t>
          </m:r>
          <m:r>
            <m:t>|</m:t>
          </m:r>
          <m:r>
            <m:t>y</m:t>
          </m:r>
          <m:r>
            <m:t>,</m:t>
          </m:r>
          <m:r>
            <m:t>v</m:t>
          </m:r>
          <m:r>
            <m:t>,</m:t>
          </m:r>
          <m:r>
            <m:t>w</m:t>
          </m:r>
          <m:r>
            <m:t>;</m:t>
          </m:r>
          <m:r>
            <m:t>θ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t>(</m:t>
              </m:r>
              <m:r>
                <m:t>t</m:t>
              </m:r>
              <m:r>
                <m:t>)</m:t>
              </m:r>
              <m:sSubSup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  <m:sup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bSup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t>(</m:t>
              </m:r>
              <m:r>
                <m:t>t</m:t>
              </m:r>
              <m:r>
                <m:t>+</m:t>
              </m:r>
              <m:r>
                <m:t>1</m:t>
              </m:r>
              <m:r>
                <m:t>)</m:t>
              </m:r>
              <m:sSubSup>
                <m:e>
                  <m:r>
                    <m:t>b</m:t>
                  </m:r>
                </m:e>
                <m:sub>
                  <m:r>
                    <m:t>j</m:t>
                  </m:r>
                </m:sub>
                <m:sup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  <m:r>
                        <m:t>+</m:t>
                      </m:r>
                      <m:r>
                        <m:t>1</m:t>
                      </m:r>
                    </m:sub>
                  </m:sSub>
                </m:sup>
              </m:sSubSup>
              <m:r>
                <m:t>(</m:t>
              </m:r>
              <m:sSub>
                <m:e>
                  <m:r>
                    <m:t>y</m:t>
                  </m:r>
                </m:e>
                <m:sub>
                  <m:r>
                    <m:t>t</m:t>
                  </m:r>
                  <m:r>
                    <m:t>+</m:t>
                  </m:r>
                  <m:r>
                    <m:t>1</m:t>
                  </m:r>
                </m:sub>
              </m:sSub>
              <m: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r>
                <m:t>(</m:t>
              </m:r>
              <m:r>
                <m:t>t</m:t>
              </m:r>
              <m:r>
                <m:t>)</m:t>
              </m:r>
              <m:sSubSup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  <m:sup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bSup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t>(</m:t>
              </m:r>
              <m:r>
                <m:t>t</m:t>
              </m:r>
              <m:r>
                <m:t>+</m:t>
              </m:r>
              <m:r>
                <m:t>1</m:t>
              </m:r>
              <m:r>
                <m:t>)</m:t>
              </m:r>
              <m:sSubSup>
                <m:e>
                  <m:r>
                    <m:t>b</m:t>
                  </m:r>
                </m:e>
                <m:sub>
                  <m:r>
                    <m:t>j</m:t>
                  </m:r>
                </m:sub>
                <m:sup>
                  <m:sSub>
                    <m:e>
                      <m:r>
                        <m:t>v</m:t>
                      </m:r>
                    </m:e>
                    <m:sub>
                      <m:r>
                        <m:t>t</m:t>
                      </m:r>
                      <m:r>
                        <m:t>+</m:t>
                      </m:r>
                      <m:r>
                        <m:t>1</m:t>
                      </m:r>
                    </m:sub>
                  </m:sSub>
                </m:sup>
              </m:sSubSup>
              <m:r>
                <m:t>(</m:t>
              </m:r>
              <m:sSub>
                <m:e>
                  <m:r>
                    <m:t>y</m:t>
                  </m:r>
                </m:e>
                <m:sub>
                  <m:r>
                    <m:t>t</m:t>
                  </m:r>
                  <m:r>
                    <m:t>+</m:t>
                  </m:r>
                  <m:r>
                    <m:t>1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Heading3"/>
      </w:pPr>
      <w:bookmarkStart w:id="23" w:name="headings-third-level"/>
      <w:r>
        <w:t xml:space="preserve">Headings: third level</w:t>
      </w:r>
      <w:bookmarkEnd w:id="23"/>
    </w:p>
    <w:p>
      <w:pPr>
        <w:pStyle w:val="Heading1"/>
      </w:pPr>
      <w:bookmarkStart w:id="24" w:name="examples-of-citations-figures-tables-references"/>
      <w:r>
        <w:t xml:space="preserve">Examples of citations, figures, tables, references</w:t>
      </w:r>
      <w:bookmarkEnd w:id="24"/>
    </w:p>
    <w:p>
      <w:pPr>
        <w:pStyle w:val="FirstParagraph"/>
      </w:pPr>
    </w:p>
    <w:p>
      <w:pPr>
        <w:pStyle w:val="BodyText"/>
      </w:pPr>
      <w:r>
        <w:t xml:space="preserve">some text</w:t>
      </w:r>
      <w:r>
        <w:t xml:space="preserve"> </w:t>
      </w:r>
      <w:r>
        <w:t xml:space="preserve">(Kour and Saabne 2014b, 2014a)</w:t>
      </w:r>
      <w:r>
        <w:t xml:space="preserve"> </w:t>
      </w:r>
      <w:r>
        <w:t xml:space="preserve">and see</w:t>
      </w:r>
      <w:r>
        <w:t xml:space="preserve"> </w:t>
      </w:r>
      <w:r>
        <w:t xml:space="preserve">Hadash et al. (2018)</w:t>
      </w:r>
      <w:r>
        <w:t xml:space="preserve">.</w:t>
      </w:r>
    </w:p>
    <w:p>
      <w:pPr>
        <w:pStyle w:val="Compact"/>
      </w:pPr>
      <w:r>
        <w:t xml:space="preserve">The documentation for</w:t>
      </w:r>
      <w:r>
        <w:t xml:space="preserve"> </w:t>
      </w:r>
      <w:r>
        <w:t xml:space="preserve"> </w:t>
      </w:r>
      <w:r>
        <w:t xml:space="preserve">may be found at</w:t>
      </w:r>
    </w:p>
    <w:p>
      <w:pPr>
        <w:pStyle w:val="BodyText"/>
      </w:pPr>
      <w:r>
        <w:t xml:space="preserve">Of note is the command</w:t>
      </w:r>
      <w:r>
        <w:t xml:space="preserve"> </w:t>
      </w:r>
      <w:r>
        <w:t xml:space="preserve">, which produces citations</w:t>
      </w:r>
      <w:r>
        <w:t xml:space="preserve"> </w:t>
      </w:r>
      <w:r>
        <w:t xml:space="preserve">appropriate for use in inline text. For example,</w:t>
      </w:r>
    </w:p>
    <w:p>
      <w:pPr>
        <w:pStyle w:val="BodyText"/>
      </w:pPr>
      <w:r>
        <w:t xml:space="preserve">produces</w:t>
      </w:r>
    </w:p>
    <w:p>
      <w:pPr>
        <w:pStyle w:val="Heading2"/>
      </w:pPr>
      <w:bookmarkStart w:id="25" w:name="figures"/>
      <w:r>
        <w:t xml:space="preserve">Figures</w:t>
      </w:r>
      <w:bookmarkEnd w:id="25"/>
    </w:p>
    <w:p>
      <w:pPr>
        <w:pStyle w:val="FirstParagraph"/>
      </w:pPr>
      <w:r>
        <w:t xml:space="preserve">See Figure</w:t>
      </w:r>
      <w:r>
        <w:t xml:space="preserve"> </w:t>
      </w:r>
      <w:r>
        <w:t xml:space="preserve">. Here is how you add footnotes. [^Sample of the first footnote.]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_energy_equity_arxiv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tables"/>
      <w:r>
        <w:t xml:space="preserve">Tables</w:t>
      </w:r>
      <w:bookmarkEnd w:id="27"/>
    </w:p>
    <w:p>
      <w:pPr>
        <w:pStyle w:val="FirstParagraph"/>
      </w:pPr>
      <w:r>
        <w:t xml:space="preserve">See awesome Table~</w:t>
      </w:r>
      <w:r>
        <w:t xml:space="preserve">.</w:t>
      </w:r>
    </w:p>
    <w:p>
      <w:pPr>
        <w:pStyle w:val="Heading2"/>
      </w:pPr>
      <w:bookmarkStart w:id="28" w:name="lists"/>
      <w:r>
        <w:t xml:space="preserve">Lists</w:t>
      </w:r>
      <w:bookmarkEnd w:id="28"/>
    </w:p>
    <w:p>
      <w:pPr>
        <w:pStyle w:val="Compact"/>
        <w:numPr>
          <w:numId w:val="1001"/>
          <w:ilvl w:val="0"/>
        </w:numPr>
      </w:pPr>
      <w:r>
        <w:t xml:space="preserve">Lorem ipsum dolor sit amet</w:t>
      </w:r>
    </w:p>
    <w:p>
      <w:pPr>
        <w:pStyle w:val="Compact"/>
        <w:numPr>
          <w:numId w:val="1001"/>
          <w:ilvl w:val="0"/>
        </w:numPr>
      </w:pPr>
      <w:r>
        <w:t xml:space="preserve">consectetur adipiscing elit.</w:t>
      </w:r>
    </w:p>
    <w:p>
      <w:pPr>
        <w:pStyle w:val="Compact"/>
        <w:numPr>
          <w:numId w:val="1001"/>
          <w:ilvl w:val="0"/>
        </w:numPr>
      </w:pPr>
      <w:r>
        <w:t xml:space="preserve">Aliquam dignissim blandit est, in dictum tortor gravida eget. In ac rutrum magna.</w:t>
      </w:r>
    </w:p>
    <w:bookmarkStart w:id="32" w:name="refs"/>
    <w:bookmarkStart w:id="29" w:name="ref-hadash2018estimate"/>
    <w:p>
      <w:pPr>
        <w:pStyle w:val="Bibliography"/>
      </w:pPr>
      <w:r>
        <w:t xml:space="preserve">Hadash, Guy, Einat Kermany, Boaz Carmeli, Ofer Lavi, George Kour, and Alon Jacovi. 2018. “Estimate and Replace: A Novel Approach to Integrating Deep Neural Networks with Existing Applications.”</w:t>
      </w:r>
      <w:r>
        <w:t xml:space="preserve"> </w:t>
      </w:r>
      <w:r>
        <w:rPr>
          <w:i/>
        </w:rPr>
        <w:t xml:space="preserve">arXiv Preprint arXiv:1804.09028</w:t>
      </w:r>
      <w:r>
        <w:t xml:space="preserve">.</w:t>
      </w:r>
    </w:p>
    <w:bookmarkEnd w:id="29"/>
    <w:bookmarkStart w:id="30" w:name="ref-kour2014fast"/>
    <w:p>
      <w:pPr>
        <w:pStyle w:val="Bibliography"/>
      </w:pPr>
      <w:r>
        <w:t xml:space="preserve">Kour, George, and Raid Saabne. 2014a. “Fast Classification of Handwritten on-Line Arabic Characters.” In</w:t>
      </w:r>
      <w:r>
        <w:t xml:space="preserve"> </w:t>
      </w:r>
      <w:r>
        <w:rPr>
          <w:i/>
        </w:rPr>
        <w:t xml:space="preserve">Soft Computing and Pattern Recognition (Socpar), 2014 6th International Conference of</w:t>
      </w:r>
      <w:r>
        <w:t xml:space="preserve">, 312–18. IEEE.</w:t>
      </w:r>
    </w:p>
    <w:bookmarkEnd w:id="30"/>
    <w:bookmarkStart w:id="31" w:name="ref-kour2014real"/>
    <w:p>
      <w:pPr>
        <w:pStyle w:val="Bibliography"/>
      </w:pPr>
      <w:r>
        <w:t xml:space="preserve">———. 2014b. “Real-Time Segmentation of on-Line Handwritten Arabic Script.” In</w:t>
      </w:r>
      <w:r>
        <w:t xml:space="preserve"> </w:t>
      </w:r>
      <w:r>
        <w:rPr>
          <w:i/>
        </w:rPr>
        <w:t xml:space="preserve">Frontiers in Handwriting Recognition (Icfhr), 2014 14th International Conference on</w:t>
      </w:r>
      <w:r>
        <w:t xml:space="preserve">, 417–22. IEEE.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template for the arxiv style</dc:title>
  <dc:creator/>
  <cp:keywords>blah, blee, bloo, these are optional and can be removed</cp:keywords>
  <dcterms:created xsi:type="dcterms:W3CDTF">2020-11-08T14:20:22Z</dcterms:created>
  <dcterms:modified xsi:type="dcterms:W3CDTF">2020-11-08T14:20:22Z</dcterms:modified>
</cp:coreProperties>
</file>