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Mining behavioral risk patterns for diabetes prediction: An explainable ensemble approach</w:t>
      </w:r>
    </w:p>
    <w:p w:rsidR="00000000" w:rsidDel="00000000" w:rsidP="00000000" w:rsidRDefault="00000000" w:rsidRPr="00000000" w14:paraId="00000002">
      <w:pPr>
        <w:spacing w:after="200" w:before="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3">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synthesizes 26 studies published between 1994 and 2025 on methodologies relevant to type 2 diabetes mellitus (T2DM) prediction, spanning five thematic pillars: association rule mining (ARM), tree-based ensemble classifiers, class-imbalance handling, SHAP-based explainable AI (XAI), and epidemiological context for Vietnam. The central finding is a persistent methodological gap: existing studies excel in either unsupervised pattern discovery through ARM or post-hoc model interpretability through SHAP, but none implement a sequential pipeline that generates behavioral risk hypotheses via FP-Growth, trains a hyperparameter-tuned ensemble classifier, and verifies genuine interaction effects through targeted SHAP subgroup analysis on the same dataset. The proposed hybrid ARM–SHAP ensemble framework addresses this gap, aiming to deliver clinically actionable explanations for T2DM prevention in high-burden settings such as Vietnam.</w:t>
      </w:r>
    </w:p>
    <w:p w:rsidR="00000000" w:rsidDel="00000000" w:rsidP="00000000" w:rsidRDefault="00000000" w:rsidRPr="00000000" w14:paraId="00000004">
      <w:pPr>
        <w:spacing w:after="20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association rule mining; diabetes prediction; ensemble learning; explainable AI; SHAP explainability</w:t>
      </w:r>
    </w:p>
    <w:p w:rsidR="00000000" w:rsidDel="00000000" w:rsidP="00000000" w:rsidRDefault="00000000" w:rsidRPr="00000000" w14:paraId="00000005">
      <w:pPr>
        <w:spacing w:after="200" w:before="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2 diabetes mellitus (T2DM) continues to escalate as a major non-communicable disease worldwide. The International Diabetes Federation estimates 589 million adults living with diabetes globally in 2024, with projections reaching approximately 853 million by 2050; over 90% of cases are type 2 and largely driven by modifiable behavioral factors (Duncan et al., 2025). In Vietnam, the disease affects an estimated 2.5 million adults, with age-standardized prevalence around 3.4% and approximately 37.8% of cases remaining undiagnosed, with incidence rising most rapidly among adults under 45 amid urbanization and lifestyle changes (Vuong et al., 2024; Nguyen et al., 2015). Traditional epidemiological approaches identify individual risk factors but rarely capture synergistic multi-feature behavioral patterns that drive disease progression.</w:t>
      </w:r>
    </w:p>
    <w:p w:rsidR="00000000" w:rsidDel="00000000" w:rsidP="00000000" w:rsidRDefault="00000000" w:rsidRPr="00000000" w14:paraId="00000007">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methodological traditions dominate recent machine-learning research on T2DM prediction. The first combines ensemble tree-based models with SHAP for interpretability, yielding both accurate predictions and post-hoc feature attributions (Majcherek et al., 2025; Kutlu et al., 2024; Netayawijit et al., 2025; Ahmed et al., 2024; Rafie et al., 2025; Islam et al., 2024; Rossi et al., 2026; Al-Hudaibi et al., 2025). The second employs association rule mining to discover co-occurrence patterns among behavioral variables (Fakir et al., 2024; Bata et al., 2025). These streams have largely remained separate: ARM studies generate multi-feature hypotheses but cannot verify whether co-occurrences represent genuine risk amplification, while SHAP-ensemble studies provide rigorous feature explanations but lack prior hypotheses about which combinations to examine.</w:t>
      </w:r>
    </w:p>
    <w:p w:rsidR="00000000" w:rsidDel="00000000" w:rsidP="00000000" w:rsidRDefault="00000000" w:rsidRPr="00000000" w14:paraId="00000008">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research bridges this divide through three research questions: </w:t>
      </w:r>
    </w:p>
    <w:p w:rsidR="00000000" w:rsidDel="00000000" w:rsidP="00000000" w:rsidRDefault="00000000" w:rsidRPr="00000000" w14:paraId="00000009">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Which multi-feature combinations of behavioral and biological indicators constitute the strongest risk patterns for T2DM? </w:t>
      </w:r>
    </w:p>
    <w:p w:rsidR="00000000" w:rsidDel="00000000" w:rsidP="00000000" w:rsidRDefault="00000000" w:rsidRPr="00000000" w14:paraId="0000000A">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 the behavioral risk combinations identified through ARM genuinely amplify individual feature contributions, or do they merely reflect statistical co-occurrence? </w:t>
      </w:r>
    </w:p>
    <w:p w:rsidR="00000000" w:rsidDel="00000000" w:rsidP="00000000" w:rsidRDefault="00000000" w:rsidRPr="00000000" w14:paraId="0000000B">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 the behavioral features driving risk differ between the younger population (ages 18–44) and the general adult population? </w:t>
      </w:r>
    </w:p>
    <w:p w:rsidR="00000000" w:rsidDel="00000000" w:rsidP="00000000" w:rsidRDefault="00000000" w:rsidRPr="00000000" w14:paraId="0000000C">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builds on the reviewed literature through a seven-step pipeline: data preparation, discretization for ARM, FP-Growth hypothesis generation, ensemble classification with Optuna hyperparameter optimization (Akiba et al., 2019), performance evaluation, SHAP-based explainability, and targeted subgroup verification. The following sections synthesize the state of the art, provide critical evaluations, and highlight the gaps that the current approach aims to fill.</w:t>
      </w:r>
    </w:p>
    <w:p w:rsidR="00000000" w:rsidDel="00000000" w:rsidP="00000000" w:rsidRDefault="00000000" w:rsidRPr="00000000" w14:paraId="0000000D">
      <w:pPr>
        <w:spacing w:after="200" w:before="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0E">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Foundations of Association Rule Mining</w:t>
      </w:r>
    </w:p>
    <w:p w:rsidR="00000000" w:rsidDel="00000000" w:rsidP="00000000" w:rsidRDefault="00000000" w:rsidRPr="00000000" w14:paraId="0000000F">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rule mining (ARM) is a core unsupervised technique for uncovering hidden relationships in categorical data. Agrawal and Srikant (1994) introduced the Apriori algorithm, which generates candidate itemsets level-wise and prunes infrequent sets using a minimum-support threshold with the downward closure property. While foundational, Apriori suffers from two computational bottlenecks: repeated full-database scans at each candidate level, and explosive candidate growth in high-dimensional spaces. These limitations are particularly acute for large-scale health surveys such as BRFSS, where 21 features—including multi-category ordinal variables—produce a vast transactional space after discretization.</w:t>
      </w:r>
    </w:p>
    <w:p w:rsidR="00000000" w:rsidDel="00000000" w:rsidP="00000000" w:rsidRDefault="00000000" w:rsidRPr="00000000" w14:paraId="00000010">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healthcare contexts, Bata et al. (2025) employed Apriori-based ARM on time-stratified diabetes comorbidity data from a Hungarian clinical registry, extracting pre- and post-diagnosis temporal patterns (e.g., hypertension preceding diabetes diagnosis). Their study confirmed ARM’s value for hypothesis generation but noted that rule quality degrades sharply on imbalanced data without pre-processing—a limitation directly relevant to the 72:28 class ratio in BRFSS. Critically, they did not verify whether the discovered patterns represented genuine risk-amplifying interactions or merely reflected base-rate artifacts.</w:t>
      </w:r>
    </w:p>
    <w:p w:rsidR="00000000" w:rsidDel="00000000" w:rsidP="00000000" w:rsidRDefault="00000000" w:rsidRPr="00000000" w14:paraId="00000011">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Advancement to FP-Growth and Scalability in Health Data</w:t>
      </w:r>
    </w:p>
    <w:p w:rsidR="00000000" w:rsidDel="00000000" w:rsidP="00000000" w:rsidRDefault="00000000" w:rsidRPr="00000000" w14:paraId="00000014">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(2000) addressed Apriori’s limitations by proposing FP-Growth, which constructs a compact FP-tree to mine frequent patterns without candidate generation, significantly reducing memory and computation costs. The algorithm compresses the dataset into a prefix tree and recursively mines conditional pattern bases, making it well-suited for large transactional datasets.</w:t>
      </w:r>
    </w:p>
    <w:p w:rsidR="00000000" w:rsidDel="00000000" w:rsidP="00000000" w:rsidRDefault="00000000" w:rsidRPr="00000000" w14:paraId="00000015">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Fakir et al. (2024) implemented parallelized FP-Growth on Apache Spark for a diabetic dataset, confirming superior scalability over Apriori. Their extracted rules linked high-calorie intake, low physical activity, and elevated BMI with diabetes onset—patterns directly relevant to the current study’s behavioral focus. However, their analysis stopped at pattern discovery without employing SHAP or any other post-hoc verification. Essalmi and Affar (2025) proposed a dynamic meta-pattern algorithm for improved rule relevance filtering, though this remains a preprint not yet applied to health data. For the present study, FP-Growth is chosen for the 253,680-record BRFSS dataset because it handles the volume and dimensionality of behavioral features at practical thresholds (min_support = 0.05, min_confidence = 0.60) without prohibitive runtime—a conclusion well-supported by Fakir et al. (2024).</w:t>
      </w:r>
    </w:p>
    <w:p w:rsidR="00000000" w:rsidDel="00000000" w:rsidP="00000000" w:rsidRDefault="00000000" w:rsidRPr="00000000" w14:paraId="00000016">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 A Unified Framework for Model Interpretability</w:t>
      </w:r>
    </w:p>
    <w:p w:rsidR="00000000" w:rsidDel="00000000" w:rsidP="00000000" w:rsidRDefault="00000000" w:rsidRPr="00000000" w14:paraId="00000017">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and Lee (2017) introduced SHAP (SHapley Additive exPlanations), a game-theoretic approach based on Shapley values that assigns consistent feature attributions satisfying three properties: local accuracy, missingness, and consistency. This framework subsumes earlier methods (e.g., LIME, DeepLIFT) within a unified theoretical foundation, providing explanations that are both locally faithful and globally aggregable. Ahmed et al. (2024) empirically confirmed SHAP’s superiority over LIME for tree-based models, reporting that LIME explanations vary significantly across runs due to sampling, while SHAP values remain stable—further justifying SHAP as the verification tool in the current pipeline.</w:t>
      </w:r>
    </w:p>
    <w:p w:rsidR="00000000" w:rsidDel="00000000" w:rsidP="00000000" w:rsidRDefault="00000000" w:rsidRPr="00000000" w14:paraId="00000018">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SHAP’s key property is its ability to decompose predictions into per-feature contributions, enabling targeted comparison between subgroups. If a behavioral combination discovered by ARM truly amplifies risk, the SHAP contributions of its constituent features should be significantly elevated within the ARM-defined subgroup compared to the general population.</w:t>
      </w:r>
    </w:p>
    <w:p w:rsidR="00000000" w:rsidDel="00000000" w:rsidP="00000000" w:rsidRDefault="00000000" w:rsidRPr="00000000" w14:paraId="00000019">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Tree SHAP, Interaction Effects, and Limitations with Correlated Features</w:t>
      </w:r>
    </w:p>
    <w:p w:rsidR="00000000" w:rsidDel="00000000" w:rsidP="00000000" w:rsidRDefault="00000000" w:rsidRPr="00000000" w14:paraId="0000001A">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et al. (2019) extended SHAP to tree ensembles via Tree SHAP—an exact polynomial-time algorithm computing both main effects and pairwise interaction values. Unlike sampling-based model-agnostic SHAP, Tree SHAP traverses each tree’s internal structure for exact Shapley computation, enabling aggregation into global insights such as summary plots, dependence plots, and interaction heatmaps.</w:t>
      </w:r>
    </w:p>
    <w:p w:rsidR="00000000" w:rsidDel="00000000" w:rsidP="00000000" w:rsidRDefault="00000000" w:rsidRPr="00000000" w14:paraId="0000001B">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Tree SHAP exhibits biased attribution when features are correlated. Features splitting earlier in trees may absorb importance from correlated downstream features. Al-Hudaibi et al. (2025) documented this in a Saudi Arabian diabetes context, where correlated clinical features (e.g., HbA1c and fasting glucose) required careful SHAP interpretation. In BRFSS, this concern is relevant because HighBP, HighChol, and BMI are moderately correlated. The current study addresses this through two mechanisms: (1) ARM identifies multi-feature combinations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SHAP analysis, providing structured hypotheses rather than relying solely on marginal values; and (2) subgroup SHAP verification holds co-occurring features constant, partially controlling for correlation effects.</w:t>
      </w:r>
    </w:p>
    <w:p w:rsidR="00000000" w:rsidDel="00000000" w:rsidP="00000000" w:rsidRDefault="00000000" w:rsidRPr="00000000" w14:paraId="0000001C">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Ensemble Tree-Based Models and Hyperparameter Optimization</w:t>
      </w:r>
    </w:p>
    <w:p w:rsidR="00000000" w:rsidDel="00000000" w:rsidP="00000000" w:rsidRDefault="00000000" w:rsidRPr="00000000" w14:paraId="0000001D">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ensembles dominate tabular health-data tasks due to their robustness, non-linear interaction handling, and strong empirical performance. Three complementary models form the current study’s ensemble backbone. Breiman (2001) introduced Random Forests, reducing variance through bagging and random feature selection, providing stability and built-in importance estimates (though biased toward high-cardinality features). Chen and Guestrin (2016) developed XGBoost with L1/L2 regularization and sparsity-aware splitting, consistently ranking among top performers on imbalanced health benchmarks; it serves as the primary SHAP analysis target due to compatibility with exact Tree SHAP. Ke et al. (2017) proposed LightGBM with Gradient-based One-Side Sampling (GOSS) and Exclusive Feature Bundling (EFB), achieving substantial speed improvements through leaf-wise growth.</w:t>
      </w:r>
    </w:p>
    <w:p w:rsidR="00000000" w:rsidDel="00000000" w:rsidP="00000000" w:rsidRDefault="00000000" w:rsidRPr="00000000" w14:paraId="0000001E">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models are combined in a Soft Voting Ensemble, selected for their complementary strengths: Random Forest contributes prediction stability through decorrelated bagging; XGBoost contributes regularized boosting with strong generalization; and LightGBM contributes efficient leaf-wise specialization. The ensemble averages predicted probabilities, smoothing individual model weaknesses. This ensemble is adopted only if it outperforms the best single model on macro-F1; if it does not, the best single model is used instead.</w:t>
      </w:r>
    </w:p>
    <w:p w:rsidR="00000000" w:rsidDel="00000000" w:rsidP="00000000" w:rsidRDefault="00000000" w:rsidRPr="00000000" w14:paraId="0000001F">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model’s hyperparameters are tuned via Optuna (Akiba et al., 2019), a next-generation Bayesian optimization framework that uses Tree-structured Parzen Estimators (TPE) with efficient pruning of unpromising trials. Optuna is configured with 50 trials per model, optimizing macro-F1 as the objective function. This principled approach replaces manual grid search, enabling systematic exploration of high-dimensional hyperparameter spaces (e.g., learning rate, max_depth, n_estimators, subsample ratio) while providing reproducibility through seed control.</w:t>
      </w:r>
    </w:p>
    <w:p w:rsidR="00000000" w:rsidDel="00000000" w:rsidP="00000000" w:rsidRDefault="00000000" w:rsidRPr="00000000" w14:paraId="00000020">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 Integration in Diabetes Prediction on BRFSS 2015</w:t>
      </w:r>
    </w:p>
    <w:p w:rsidR="00000000" w:rsidDel="00000000" w:rsidP="00000000" w:rsidRDefault="00000000" w:rsidRPr="00000000" w14:paraId="00000021">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studies are directly comparable to the current work, both applying SHAP to tree models on the BRFSS 2015 dataset. Majcherek et al. (2025) benchmarked 18 models on 253,680 records, finding tree ensembles superior in AUC. Their SHAP analysis identified HighBP, BMI, Age, and GenHlth as dominant contributors with non-linear BMI thresholds. However, three limitations persist: (a) SHAP was applied post-hoc without prior hypotheses; (b) GenHlth (r = 0.33 with the target—the highest Pearson correlation among all 21 features—was retained without leakage analysis, despite being a self-rated health measure strongly influenced by diagnosis awareness; and (c) no age-stratified analysis was performed.</w:t>
      </w:r>
    </w:p>
    <w:p w:rsidR="00000000" w:rsidDel="00000000" w:rsidP="00000000" w:rsidRDefault="00000000" w:rsidRPr="00000000" w14:paraId="00000022">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Kutlu et al. (2024) applied XGBoost with Recursive Feature Elimination on the same dataset, achieving 86.6% accuracy with SHAP-confirmed BMI thresholds around 30 kg/m². Limitations include: (a) post-hoc SHAP without prior hypotheses; (b) modest recall on the minority At-Risk class; and (c) no systematic leakage analysis for GenHlth, CholCheck, or other features that may reflect post-diagnosis status. Neither study addresses medium-leakage features such as HeartDiseaseorAttack (At-Risk prevalence 21.9% vs. No-Risk 8.2%, difference +13.7 percentage points, r = 0.190) or Stroke (At-Risk 9.1% vs. No-Risk 3.6%, difference +5.5pp), which represent diabetes comorbidities rather than pre-diagnosis behavioral risk factors. Both studies demonstrate that SHAP on BRFSS is valuable but incomplete.</w:t>
      </w:r>
    </w:p>
    <w:p w:rsidR="00000000" w:rsidDel="00000000" w:rsidP="00000000" w:rsidRDefault="00000000" w:rsidRPr="00000000" w14:paraId="00000023">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SHAP-Based Studies in Diabetes Prediction</w:t>
      </w:r>
    </w:p>
    <w:p w:rsidR="00000000" w:rsidDel="00000000" w:rsidP="00000000" w:rsidRDefault="00000000" w:rsidRPr="00000000" w14:paraId="00000024">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BRFSS-specific studies, a growing body of work applies SHAP to diabetes prediction on diverse datasets. Netayawijit et al. (2025) developed a SMOTE+SHAP framework for a Thai dataset, improving macro-F1 by approximately 10% over non-oversampled baselines—providing empirical support for the current study’s SMOTE-aware cross-validation design. Ahmad et al. (2026) proposed stacked ensembles with SHAP on a small clinical dataset. Rafie et al. (2025) leveraged XGBoost+SHAP on Iranian clinical data with direct biomarkers (AUC &gt; 0.90), though biomarkers are unavailable in behavioral surveys like BRFSS.</w:t>
      </w:r>
    </w:p>
    <w:p w:rsidR="00000000" w:rsidDel="00000000" w:rsidP="00000000" w:rsidRDefault="00000000" w:rsidRPr="00000000" w14:paraId="00000025">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 et al. (2024) combined hyperparameter tuning, SHAP, partial dependence plots, and LIME for comprehensive XAI triangulation. Rossi et al. (2026) proposed the D.R.E.A.M. framework emphasizing combined global and local explanations for clinical trust. Across all studies, a consistent pattern emerges: SHAP is applied as an exploratory post-hoc tool without prior hypotheses. The current study reverses this logic—using ARM to generate hypotheses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SHAP analysis, then using SHAP to </w:t>
      </w:r>
      <w:r w:rsidDel="00000000" w:rsidR="00000000" w:rsidRPr="00000000">
        <w:rPr>
          <w:rFonts w:ascii="Times New Roman" w:cs="Times New Roman" w:eastAsia="Times New Roman" w:hAnsi="Times New Roman"/>
          <w:i w:val="1"/>
          <w:i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specific predictions about subgroup-level interactions.</w:t>
      </w:r>
    </w:p>
    <w:p w:rsidR="00000000" w:rsidDel="00000000" w:rsidP="00000000" w:rsidRDefault="00000000" w:rsidRPr="00000000" w14:paraId="00000026">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Imbalance Handling Techniques</w:t>
      </w:r>
    </w:p>
    <w:p w:rsidR="00000000" w:rsidDel="00000000" w:rsidP="00000000" w:rsidRDefault="00000000" w:rsidRPr="00000000" w14:paraId="00000027">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BRFSS 2015 dataset, the At-Risk class comprises 27.78% of records after binarization. This imbalance inflates accuracy while masking poor recall on the clinically important minority class. Chawla et al. (2002) introduced SMOTE (Synthetic Minority Over-sampling TEchnique), generating synthetic minority examples by interpolating between nearest neighbors. SMOTE improves recall without simple duplication, though it may introduce noise in high-dimensional spaces by interpolating between dissimilar instances.</w:t>
      </w:r>
    </w:p>
    <w:p w:rsidR="00000000" w:rsidDel="00000000" w:rsidP="00000000" w:rsidRDefault="00000000" w:rsidRPr="00000000" w14:paraId="00000028">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Agyemang et al. (2025) compared SMOTE, ADASYN, Borderline-SMOTE, and SMOTE-Tomek on health datasets, demonstrating 8–15% sensitivity improvements. Hybrid variants (e.g., SMOTE-Tomek) partially mitigate noise by removing ambiguous boundary instances. Rezki et al. (2024) confirmed these findings for diabetes classification across C5.0, Random Forest, and SVM.</w:t>
      </w:r>
    </w:p>
    <w:p w:rsidR="00000000" w:rsidDel="00000000" w:rsidP="00000000" w:rsidRDefault="00000000" w:rsidRPr="00000000" w14:paraId="00000029">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design consideration is </w:t>
      </w:r>
      <w:r w:rsidDel="00000000" w:rsidR="00000000" w:rsidRPr="00000000">
        <w:rPr>
          <w:rFonts w:ascii="Times New Roman" w:cs="Times New Roman" w:eastAsia="Times New Roman" w:hAnsi="Times New Roman"/>
          <w:b w:val="1"/>
          <w:bCs w:val="1"/>
          <w:sz w:val="24"/>
          <w:szCs w:val="24"/>
          <w:rtl w:val="0"/>
        </w:rPr>
        <w:t xml:space="preserve">SMOTE-aware cross-validation</w:t>
      </w:r>
      <w:r w:rsidDel="00000000" w:rsidR="00000000" w:rsidRPr="00000000">
        <w:rPr>
          <w:rFonts w:ascii="Times New Roman" w:cs="Times New Roman" w:eastAsia="Times New Roman" w:hAnsi="Times New Roman"/>
          <w:sz w:val="24"/>
          <w:szCs w:val="24"/>
          <w:rtl w:val="0"/>
        </w:rPr>
        <w:t xml:space="preserve">: SMOTE must be fitted </w:t>
      </w:r>
      <w:r w:rsidDel="00000000" w:rsidR="00000000" w:rsidRPr="00000000">
        <w:rPr>
          <w:rFonts w:ascii="Times New Roman" w:cs="Times New Roman" w:eastAsia="Times New Roman" w:hAnsi="Times New Roman"/>
          <w:i w:val="1"/>
          <w:iCs w:val="1"/>
          <w:sz w:val="24"/>
          <w:szCs w:val="24"/>
          <w:rtl w:val="0"/>
        </w:rPr>
        <w:t xml:space="preserve">only on training folds</w:t>
      </w:r>
      <w:r w:rsidDel="00000000" w:rsidR="00000000" w:rsidRPr="00000000">
        <w:rPr>
          <w:rFonts w:ascii="Times New Roman" w:cs="Times New Roman" w:eastAsia="Times New Roman" w:hAnsi="Times New Roman"/>
          <w:sz w:val="24"/>
          <w:szCs w:val="24"/>
          <w:rtl w:val="0"/>
        </w:rPr>
        <w:t xml:space="preserve">, with synthetic samples excluded from validation folds. If SMOTE is applied before the train/validation split, synthetic samples may leak information from validation instances into training, producing overly optimistic performance estimates. The current pipeline enforces this by applying SMOTE within each of the 5 cross-validation folds using imbalanced-learn’s Pipeline integration, ensuring that the validation fold always evaluates on real (non-synthetic) data. Class-weight balancing (‘balanced’ mode) is tested as a comparison baseline, as it adjusts loss function weights without modifying the data distribution.</w:t>
      </w:r>
    </w:p>
    <w:p w:rsidR="00000000" w:rsidDel="00000000" w:rsidP="00000000" w:rsidRDefault="00000000" w:rsidRPr="00000000" w14:paraId="0000002A">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Epidemiological Context and Regional Relevance for Vietnam</w:t>
      </w:r>
    </w:p>
    <w:p w:rsidR="00000000" w:rsidDel="00000000" w:rsidP="00000000" w:rsidRDefault="00000000" w:rsidRPr="00000000" w14:paraId="0000002B">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Duncan et al. (2025), reporting on the IDF Diabetes Atlas (11th edition), documented 589 million adults with diabetes globally in 2024, with low- and middle-income countries bearing a disproportionate burden driven by behavioral risk factors—physical inactivity, unhealthy diet, and obesity.</w:t>
      </w:r>
    </w:p>
    <w:p w:rsidR="00000000" w:rsidDel="00000000" w:rsidP="00000000" w:rsidRDefault="00000000" w:rsidRPr="00000000" w14:paraId="0000002C">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Vietnam, Vuong et al. (2024) reported age-standardized prevalence of approximately 3.4%, with 37.8% of cases undiagnosed. Among high-risk adults, prediabetes reached 60.6% and undiagnosed diabetes 18.3%, with obesity, hypertension, and dyslipidemia as major associated factors. Nguyen et al. (2015) documented that T2DM incidence is rising fastest among Vietnamese adults under 45, driven by urbanization, dietary transitions toward processed foods, and declining physical activity. This pattern directly motivates RQ3: the BRFSS sample has a median age code of 9 (corresponding to 60–64 years), meaning the sample is heavily skewed toward older adults. If behavioral risk drivers differ between younger and older populations—as the Vietnamese epidemiological evidence suggests—then age-stratified SHAP analysis is essential for generating prevention insights relevant to Vietnam’s at-risk youth demographic. The current study addresses this through explicit youth-versus-general SHAP comparison (Age codes 1–5, approximately 51,525 records with 4,864 At-Risk cases), with appropriate statistical power caveats due to the smaller At-Risk count in this subgroup. It is noted that the BRFSS is a U.S. dataset, and findings are framed as hypothesis-generating rather than directly prescriptive for Vietnam.</w:t>
      </w:r>
    </w:p>
    <w:p w:rsidR="00000000" w:rsidDel="00000000" w:rsidP="00000000" w:rsidRDefault="00000000" w:rsidRPr="00000000" w14:paraId="0000002D">
      <w:pPr>
        <w:spacing w:after="16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Literature and Research Gaps</w:t>
      </w:r>
    </w:p>
    <w:p w:rsidR="00000000" w:rsidDel="00000000" w:rsidP="00000000" w:rsidRDefault="00000000" w:rsidRPr="00000000" w14:paraId="0000002E">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26 reviewed studies provide robust foundations across five pillars. However, five critical gaps persist when these pillars are viewed as components of an integrated pipeline:</w:t>
      </w:r>
    </w:p>
    <w:p w:rsidR="00000000" w:rsidDel="00000000" w:rsidP="00000000" w:rsidRDefault="00000000" w:rsidRPr="00000000" w14:paraId="0000002F">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1: ARM without verification. </w:t>
      </w:r>
      <w:r w:rsidDel="00000000" w:rsidR="00000000" w:rsidRPr="00000000">
        <w:rPr>
          <w:rFonts w:ascii="Times New Roman" w:cs="Times New Roman" w:eastAsia="Times New Roman" w:hAnsi="Times New Roman"/>
          <w:sz w:val="24"/>
          <w:szCs w:val="24"/>
          <w:rtl w:val="0"/>
        </w:rPr>
        <w:t xml:space="preserve">All reviewed ARM studies (Agrawal &amp; Srikant, 1994; Han et al., 2000; Fakir et al., 2024; Bata et al., 2025; Essalmi &amp; Affar, 2025) generate co-occurrence patterns but lack mechanisms to verify whether these represent genuine risk-amplifying interactions or statistical artifacts from correlated base rates.</w:t>
      </w:r>
    </w:p>
    <w:p w:rsidR="00000000" w:rsidDel="00000000" w:rsidP="00000000" w:rsidRDefault="00000000" w:rsidRPr="00000000" w14:paraId="00000030">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2: SHAP without prior hypotheses. </w:t>
      </w:r>
      <w:r w:rsidDel="00000000" w:rsidR="00000000" w:rsidRPr="00000000">
        <w:rPr>
          <w:rFonts w:ascii="Times New Roman" w:cs="Times New Roman" w:eastAsia="Times New Roman" w:hAnsi="Times New Roman"/>
          <w:sz w:val="24"/>
          <w:szCs w:val="24"/>
          <w:rtl w:val="0"/>
        </w:rPr>
        <w:t xml:space="preserve">All SHAP-diabetes studies (Majcherek et al., 2025; Kutlu et al., 2024; Netayawijit et al., 2025; Ahmed et al., 2024; Ahmad et al., 2026; Rafie et al., 2025; Islam et al., 2024; Rossi et al., 2026; Al-Hudaibi et al., 2025) apply SHAP as an exploratory post-hoc tool without prior testable hypotheses, preventing systematic verification of multi-feature interactions.</w:t>
      </w:r>
    </w:p>
    <w:p w:rsidR="00000000" w:rsidDel="00000000" w:rsidP="00000000" w:rsidRDefault="00000000" w:rsidRPr="00000000" w14:paraId="00000031">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3: Feature leakage under-addressed. </w:t>
      </w:r>
      <w:r w:rsidDel="00000000" w:rsidR="00000000" w:rsidRPr="00000000">
        <w:rPr>
          <w:rFonts w:ascii="Times New Roman" w:cs="Times New Roman" w:eastAsia="Times New Roman" w:hAnsi="Times New Roman"/>
          <w:sz w:val="24"/>
          <w:szCs w:val="24"/>
          <w:rtl w:val="0"/>
        </w:rPr>
        <w:t xml:space="preserve">Neither BRFSS study (Majcherek et al., 2025; Kutlu et al., 2024) addresses the leakage risk from GenHlth (r = 0.33, highest in dataset; self-rated health influenced by diagnosis awareness), CholCheck (post-diagnosis monitoring), DiffWalk (diabetes complication), or medium-leakage comorbidities HeartDiseaseorAttack (r = 0.190) and Stroke. The current study trains three model variants (full, leakage-removed, behavioral-only) to quantify this risk.</w:t>
      </w:r>
    </w:p>
    <w:p w:rsidR="00000000" w:rsidDel="00000000" w:rsidP="00000000" w:rsidRDefault="00000000" w:rsidRPr="00000000" w14:paraId="00000032">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4: No age-stratified behavioral analysis. </w:t>
      </w:r>
      <w:r w:rsidDel="00000000" w:rsidR="00000000" w:rsidRPr="00000000">
        <w:rPr>
          <w:rFonts w:ascii="Times New Roman" w:cs="Times New Roman" w:eastAsia="Times New Roman" w:hAnsi="Times New Roman"/>
          <w:sz w:val="24"/>
          <w:szCs w:val="24"/>
          <w:rtl w:val="0"/>
        </w:rPr>
        <w:t xml:space="preserve">Despite evidence that T2DM rises fastest among younger adults in Vietnam (Nguyen et al., 2015; Vuong et al., 2024) and globally (Duncan et al., 2025), no reviewed study performs age-stratified SHAP analysis on behavioral features.</w:t>
      </w:r>
    </w:p>
    <w:p w:rsidR="00000000" w:rsidDel="00000000" w:rsidP="00000000" w:rsidRDefault="00000000" w:rsidRPr="00000000" w14:paraId="00000033">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5: No sequential ARM-to-SHAP pipeline. </w:t>
      </w:r>
      <w:r w:rsidDel="00000000" w:rsidR="00000000" w:rsidRPr="00000000">
        <w:rPr>
          <w:rFonts w:ascii="Times New Roman" w:cs="Times New Roman" w:eastAsia="Times New Roman" w:hAnsi="Times New Roman"/>
          <w:sz w:val="24"/>
          <w:szCs w:val="24"/>
          <w:rtl w:val="0"/>
        </w:rPr>
        <w:t xml:space="preserve">No study implements the full sequential pipeline of ARM hypothesis generation, Optuna-tuned ensemble prediction, and targeted SHAP subgroup verification on the same large-scale behavioral dataset.</w:t>
      </w:r>
    </w:p>
    <w:p w:rsidR="00000000" w:rsidDel="00000000" w:rsidP="00000000" w:rsidRDefault="00000000" w:rsidRPr="00000000" w14:paraId="00000034">
      <w:pPr>
        <w:spacing w:after="200" w:before="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p w:rsidR="00000000" w:rsidDel="00000000" w:rsidP="00000000" w:rsidRDefault="00000000" w:rsidRPr="00000000" w14:paraId="00000035">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 synthesized literature, the study implements a hybrid ARM–SHAP ensemble framework on the BRFSS 2015 dataset (253,680 records). The data preparation phase includes target binarization (merging pre-diabetes and diabetes into At-Risk), BMI outlier handling (IQR-capping at 42.5 vs. removal of BMI &gt; 60), MinMaxScaler normalization (fit on training data only), and discretization of continuous/ordinal features into categorical bins for ARM. FP-Growth (mlxtend) is applied with minimum support of 0.05, confidence of 0.60, and lift of 1.5 to generate behavioral hypotheses formulated as testable statements about SHAP contributions within ARM-defined subgroups.</w:t>
      </w:r>
    </w:p>
    <w:p w:rsidR="00000000" w:rsidDel="00000000" w:rsidP="00000000" w:rsidRDefault="00000000" w:rsidRPr="00000000" w14:paraId="00000036">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classifiers are trained using 5-fold Stratified K-Fold cross-validation: Logistic Regression and Decision Tree (baselines), Random Forest, XGBoost, and LightGBM (each tuned via Optuna with 50 trials optimizing macro-F1), and a Soft Voting Ensemble adopted only if it outperforms the best single model. Class imbalance is addressed through SMOTE-aware cross-validation (SMOTE fitted only on training folds), NearMiss, and class_weight experiments. Three model variants—Variant A (full 21 features), Variant B (removing GenHlth, CholCheck, DiffWalk, HeartDiseaseorAttack, Stroke), and Variant C (behavioral-only: PhysActivity, BMI, Smoker, Fruits, Veggies, HvyAlcoholConsump, Income, Education, Age, Sex)—quantify feature leakage sensitivity. SHAP TreeExplainer computes attributions and interactions on the best model, with targeted subgroup analysis verifying each ARM-derived hypothesis. Youth-versus-general SHAP comparison (Age codes 1–5, ages 18–44) addresses RQ3. All experiments use Python 3.12 with scikit-learn, XGBoost, LightGBM, SHAP, Optuna, and mlxtend (seed = 42).</w:t>
      </w:r>
    </w:p>
    <w:p w:rsidR="00000000" w:rsidDel="00000000" w:rsidP="00000000" w:rsidRDefault="00000000" w:rsidRPr="00000000" w14:paraId="00000037">
      <w:pPr>
        <w:spacing w:after="200" w:before="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38">
      <w:pPr>
        <w:spacing w:after="12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Results will be reported upon completion of the experimental pipeline, including: the top 15–20 behavioral risk rules with support, confidence, lift, and clinical interpretation; 3–5 hypothesis verification results with quantitative SHAP subgroup evidence; model comparison across all 6 models; SHAP visualizations; leakage sensitivity results (Variants A, B, C); and youth-versus-general population SHAP comparison.</w:t>
      </w:r>
    </w:p>
    <w:p w:rsidR="00000000" w:rsidDel="00000000" w:rsidP="00000000" w:rsidRDefault="00000000" w:rsidRPr="00000000" w14:paraId="00000039">
      <w:pPr>
        <w:spacing w:after="200" w:before="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3A">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discussion will critically analyze results in relation to the reviewed literature, focusing on: (a) whether ARM hypotheses are confirmed or rejected by SHAP; (b) comparison with Majcherek et al. (2025) and Kutlu et al. (2024); (c) impact of feature leakage removal; (d) youth vs. general population differences; and (e) implications for diabetes prevention in Vietnam.</w:t>
      </w:r>
      <w:r w:rsidDel="00000000" w:rsidR="00000000" w:rsidRPr="00000000">
        <w:rPr>
          <w:rtl w:val="0"/>
        </w:rPr>
      </w:r>
    </w:p>
    <w:p w:rsidR="00000000" w:rsidDel="00000000" w:rsidP="00000000" w:rsidRDefault="00000000" w:rsidRPr="00000000" w14:paraId="0000003B">
      <w:pPr>
        <w:spacing w:after="200" w:before="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 FUNDING &amp; ETHICS POLICIES</w:t>
      </w:r>
    </w:p>
    <w:p w:rsidR="00000000" w:rsidDel="00000000" w:rsidP="00000000" w:rsidRDefault="00000000" w:rsidRPr="00000000" w14:paraId="0000003C">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BRFSS 2015 dataset is publicly available, collected and anonymized by the U.S. CDC. No personally identifiable information is present. All findings are framed as statistical associations, not causal claims. This research received no external funding. The authors declare no conflicts of interest.</w:t>
      </w:r>
    </w:p>
    <w:p w:rsidR="00000000" w:rsidDel="00000000" w:rsidP="00000000" w:rsidRDefault="00000000" w:rsidRPr="00000000" w14:paraId="0000003D">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2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before="36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47">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Agrawal, R. K. (1994b). Fast algorithm for mining association rules. Very Large Data Bases, 487–499. </w:t>
      </w:r>
      <w:hyperlink r:id="rId6">
        <w:r w:rsidDel="00000000" w:rsidR="00000000" w:rsidRPr="00000000">
          <w:rPr>
            <w:rFonts w:ascii="Times New Roman" w:cs="Times New Roman" w:eastAsia="Times New Roman" w:hAnsi="Times New Roman"/>
            <w:color w:val="1155cc"/>
            <w:sz w:val="24"/>
            <w:szCs w:val="24"/>
            <w:u w:val="single"/>
            <w:rtl w:val="0"/>
          </w:rPr>
          <w:t xml:space="preserve">https://ci.nii.ac.jp/naid/10000112747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Agyemang, E. F., Mensah, J. A., Nyarko, E., Arku, D., Mbeah-Baiden, B., Opoku, E., &amp; Nortey, E. N. N. (2025). Addressing class imbalance problem in health data classification: Practical application from an oversampling viewpoint. </w:t>
      </w:r>
      <w:r w:rsidDel="00000000" w:rsidR="00000000" w:rsidRPr="00000000">
        <w:rPr>
          <w:rFonts w:ascii="Times New Roman" w:cs="Times New Roman" w:eastAsia="Times New Roman" w:hAnsi="Times New Roman"/>
          <w:i w:val="1"/>
          <w:iCs w:val="1"/>
          <w:sz w:val="24"/>
          <w:szCs w:val="24"/>
          <w:rtl w:val="0"/>
        </w:rPr>
        <w:t xml:space="preserve">Applied Computational Intelligence and Soft Computing</w:t>
      </w:r>
      <w:r w:rsidDel="00000000" w:rsidR="00000000" w:rsidRPr="00000000">
        <w:rPr>
          <w:rFonts w:ascii="Times New Roman" w:cs="Times New Roman" w:eastAsia="Times New Roman" w:hAnsi="Times New Roman"/>
          <w:sz w:val="24"/>
          <w:szCs w:val="24"/>
          <w:rtl w:val="0"/>
        </w:rPr>
        <w:t xml:space="preserve">, 2025(1).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https://doi.org/10.1155/acis/1013769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S., Hussain, S., Arif, M., &amp; Ansari, M. A. (2026). Early-stage diabetes prediction using a stacked ensemble model enhanced with SHAP explainability. </w:t>
      </w:r>
      <w:r w:rsidDel="00000000" w:rsidR="00000000" w:rsidRPr="00000000">
        <w:rPr>
          <w:rFonts w:ascii="Times New Roman" w:cs="Times New Roman" w:eastAsia="Times New Roman" w:hAnsi="Times New Roman"/>
          <w:i w:val="1"/>
          <w:iCs w:val="1"/>
          <w:sz w:val="24"/>
          <w:szCs w:val="24"/>
          <w:rtl w:val="0"/>
        </w:rPr>
        <w:t xml:space="preserve">Biomedical &amp; Pharmacology Journal</w:t>
      </w:r>
      <w:r w:rsidDel="00000000" w:rsidR="00000000" w:rsidRPr="00000000">
        <w:rPr>
          <w:rFonts w:ascii="Times New Roman" w:cs="Times New Roman" w:eastAsia="Times New Roman" w:hAnsi="Times New Roman"/>
          <w:sz w:val="24"/>
          <w:szCs w:val="24"/>
          <w:rtl w:val="0"/>
        </w:rPr>
        <w:t xml:space="preserve">, 1(19), 246.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https://doi.org/10.13005/bpj/3350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S., Kaiser, M. S., Hossain, M. S., &amp; Andersson, K. (2024). A comparative analysis of LIME and SHAP interpreters with explainable ML-based diabetes predictions.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13, 37370–37388.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https://doi.org/10.1109/access.2024.3422319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Akiba, T., Sano, S., Yanase, T., Ohta, T., &amp; Koyama, M. (2019). Optuna: A next-generation hyperparameter optimization framework.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https://arxiv.org/abs/1907.10902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Al-Hudaibi, Z. H., Almatar, R. M., Alwabari, Z. A., Al-Duhailan, O. M., Alsuwailem, H. M., &amp; Alhajji, Z. M. (2025). Explainable artificial intelligence-PREDICT. </w:t>
      </w:r>
      <w:r w:rsidDel="00000000" w:rsidR="00000000" w:rsidRPr="00000000">
        <w:rPr>
          <w:rFonts w:ascii="Times New Roman" w:cs="Times New Roman" w:eastAsia="Times New Roman" w:hAnsi="Times New Roman"/>
          <w:i w:val="1"/>
          <w:iCs w:val="1"/>
          <w:sz w:val="24"/>
          <w:szCs w:val="24"/>
          <w:rtl w:val="0"/>
        </w:rPr>
        <w:t xml:space="preserve">Journal of Advanced Trends in Medical Research</w:t>
      </w:r>
      <w:r w:rsidDel="00000000" w:rsidR="00000000" w:rsidRPr="00000000">
        <w:rPr>
          <w:rFonts w:ascii="Times New Roman" w:cs="Times New Roman" w:eastAsia="Times New Roman" w:hAnsi="Times New Roman"/>
          <w:sz w:val="24"/>
          <w:szCs w:val="24"/>
          <w:rtl w:val="0"/>
        </w:rPr>
        <w:t xml:space="preserve">, 2(2), 114–119.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https://doi.org/10.4103/atmr.atmr_41_25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 R., Ghanem, A. S., Faludi, E. V., Sztanek, F., &amp; Nagy, A. C. (2025). Association rule mining of time-based patterns in diabetes-related comorbidities on imbalanced data.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w:t>
      </w:r>
      <w:r w:rsidDel="00000000" w:rsidR="00000000" w:rsidRPr="00000000">
        <w:rPr>
          <w:rFonts w:ascii="Times New Roman" w:cs="Times New Roman" w:eastAsia="Times New Roman" w:hAnsi="Times New Roman"/>
          <w:sz w:val="24"/>
          <w:szCs w:val="24"/>
          <w:rtl w:val="0"/>
        </w:rPr>
        <w:t xml:space="preserve">, 25(1), 352.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https://doi.org/10.1186/s12911-025-03206-1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Breiman, L. (2001). Random forests.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45(1), 5–32.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https://doi.org/10.1023/a:1010933404324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i w:val="1"/>
          <w:iCs w:val="1"/>
          <w:sz w:val="24"/>
          <w:szCs w:val="24"/>
          <w:rtl w:val="0"/>
        </w:rPr>
        <w:t xml:space="preserve">Journal of Artificial Intelligence Research</w:t>
      </w:r>
      <w:r w:rsidDel="00000000" w:rsidR="00000000" w:rsidRPr="00000000">
        <w:rPr>
          <w:rFonts w:ascii="Times New Roman" w:cs="Times New Roman" w:eastAsia="Times New Roman" w:hAnsi="Times New Roman"/>
          <w:sz w:val="24"/>
          <w:szCs w:val="24"/>
          <w:rtl w:val="0"/>
        </w:rPr>
        <w:t xml:space="preserve">, 16, 321–357.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https://doi.org/10.1613/jair.953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T., &amp; Guestrin, C. (2016). XGBoost: A scalable tree boosting system.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https://doi.org/10.48550/arxiv.1603.02754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Duncan, B. B., Magliano, D. J., &amp; Boyko, E. J. (2025). IDF Diabetes Atlas 11th edition 2025. </w:t>
      </w:r>
      <w:r w:rsidDel="00000000" w:rsidR="00000000" w:rsidRPr="00000000">
        <w:rPr>
          <w:rFonts w:ascii="Times New Roman" w:cs="Times New Roman" w:eastAsia="Times New Roman" w:hAnsi="Times New Roman"/>
          <w:i w:val="1"/>
          <w:iCs w:val="1"/>
          <w:sz w:val="24"/>
          <w:szCs w:val="24"/>
          <w:rtl w:val="0"/>
        </w:rPr>
        <w:t xml:space="preserve">Nephrology Dialysis Transplantation</w:t>
      </w:r>
      <w:r w:rsidDel="00000000" w:rsidR="00000000" w:rsidRPr="00000000">
        <w:rPr>
          <w:rFonts w:ascii="Times New Roman" w:cs="Times New Roman" w:eastAsia="Times New Roman" w:hAnsi="Times New Roman"/>
          <w:sz w:val="24"/>
          <w:szCs w:val="24"/>
          <w:rtl w:val="0"/>
        </w:rPr>
        <w:t xml:space="preserve">, 41(1), 7–9.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https://doi.org/10.1093/ndt/gfaf177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Essalmi, H., &amp; Affar, A. E. (2025). Dynamic algorithm for mining relevant association rules via meta-patterns. </w:t>
      </w:r>
      <w:r w:rsidDel="00000000" w:rsidR="00000000" w:rsidRPr="00000000">
        <w:rPr>
          <w:rFonts w:ascii="Times New Roman" w:cs="Times New Roman" w:eastAsia="Times New Roman" w:hAnsi="Times New Roman"/>
          <w:i w:val="1"/>
          <w:iCs w:val="1"/>
          <w:sz w:val="24"/>
          <w:szCs w:val="24"/>
          <w:rtl w:val="0"/>
        </w:rPr>
        <w:t xml:space="preserve">Preprints.org</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https://doi.org/10.20944/preprints202504.1724.v1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Fakir, Y., Khalil, S., &amp; Fakir, M. (2024). Extraction of association rules in a diabetic dataset using parallel FP-growth under Apache Spark. </w:t>
      </w:r>
      <w:r w:rsidDel="00000000" w:rsidR="00000000" w:rsidRPr="00000000">
        <w:rPr>
          <w:rFonts w:ascii="Times New Roman" w:cs="Times New Roman" w:eastAsia="Times New Roman" w:hAnsi="Times New Roman"/>
          <w:i w:val="1"/>
          <w:iCs w:val="1"/>
          <w:sz w:val="24"/>
          <w:szCs w:val="24"/>
          <w:rtl w:val="0"/>
        </w:rPr>
        <w:t xml:space="preserve">International Journal of Informatics and Communication Technology</w:t>
      </w:r>
      <w:r w:rsidDel="00000000" w:rsidR="00000000" w:rsidRPr="00000000">
        <w:rPr>
          <w:rFonts w:ascii="Times New Roman" w:cs="Times New Roman" w:eastAsia="Times New Roman" w:hAnsi="Times New Roman"/>
          <w:sz w:val="24"/>
          <w:szCs w:val="24"/>
          <w:rtl w:val="0"/>
        </w:rPr>
        <w:t xml:space="preserve">, 13(3), 445.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https://doi.org/10.11591/ijict.v13i3.pp445-452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J., Pei, J., &amp; Yin, Y. (2000). Mining frequent patterns without candidate generation. </w:t>
      </w:r>
      <w:r w:rsidDel="00000000" w:rsidR="00000000" w:rsidRPr="00000000">
        <w:rPr>
          <w:rFonts w:ascii="Times New Roman" w:cs="Times New Roman" w:eastAsia="Times New Roman" w:hAnsi="Times New Roman"/>
          <w:i w:val="1"/>
          <w:iCs w:val="1"/>
          <w:sz w:val="24"/>
          <w:szCs w:val="24"/>
          <w:rtl w:val="0"/>
        </w:rPr>
        <w:t xml:space="preserve">ACM SIGMOD Record</w:t>
      </w:r>
      <w:r w:rsidDel="00000000" w:rsidR="00000000" w:rsidRPr="00000000">
        <w:rPr>
          <w:rFonts w:ascii="Times New Roman" w:cs="Times New Roman" w:eastAsia="Times New Roman" w:hAnsi="Times New Roman"/>
          <w:sz w:val="24"/>
          <w:szCs w:val="24"/>
          <w:rtl w:val="0"/>
        </w:rPr>
        <w:t xml:space="preserve">, 29(2), 1–12.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https://doi.org/10.1145/335191.335372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 M. M., Rifat, H. R., Shahid, M. S. B., Akhter, A., Uddin, M. A., &amp; Uddin, K. M. M. (2024). Explainable machine learning for efficient diabetes prediction. </w:t>
      </w:r>
      <w:r w:rsidDel="00000000" w:rsidR="00000000" w:rsidRPr="00000000">
        <w:rPr>
          <w:rFonts w:ascii="Times New Roman" w:cs="Times New Roman" w:eastAsia="Times New Roman" w:hAnsi="Times New Roman"/>
          <w:i w:val="1"/>
          <w:iCs w:val="1"/>
          <w:sz w:val="24"/>
          <w:szCs w:val="24"/>
          <w:rtl w:val="0"/>
        </w:rPr>
        <w:t xml:space="preserve">Engineering Reports</w:t>
      </w:r>
      <w:r w:rsidDel="00000000" w:rsidR="00000000" w:rsidRPr="00000000">
        <w:rPr>
          <w:rFonts w:ascii="Times New Roman" w:cs="Times New Roman" w:eastAsia="Times New Roman" w:hAnsi="Times New Roman"/>
          <w:sz w:val="24"/>
          <w:szCs w:val="24"/>
          <w:rtl w:val="0"/>
        </w:rPr>
        <w:t xml:space="preserve">, 7(1).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https://doi.org/10.1002/eng2.13080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 G., Meng, Q., Finley, T., Wang, T., Chen, W., Ma, W., Ye, Q., &amp; Liu, T. (2017). LightGBM: A highly efficient gradient boosting decision tree. </w:t>
      </w:r>
      <w:r w:rsidDel="00000000" w:rsidR="00000000" w:rsidRPr="00000000">
        <w:rPr>
          <w:rFonts w:ascii="Times New Roman" w:cs="Times New Roman" w:eastAsia="Times New Roman" w:hAnsi="Times New Roman"/>
          <w:i w:val="1"/>
          <w:iCs w:val="1"/>
          <w:sz w:val="24"/>
          <w:szCs w:val="24"/>
          <w:rtl w:val="0"/>
        </w:rPr>
        <w:t xml:space="preserve">HAL</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https://hal.science/hal-03953007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Kutlu, M., Donmez, T. B., &amp; Freeman, C. (2024). Machine learning interpretability in diabetes risk assessment: A SHAP analysis. </w:t>
      </w:r>
      <w:r w:rsidDel="00000000" w:rsidR="00000000" w:rsidRPr="00000000">
        <w:rPr>
          <w:rFonts w:ascii="Times New Roman" w:cs="Times New Roman" w:eastAsia="Times New Roman" w:hAnsi="Times New Roman"/>
          <w:i w:val="1"/>
          <w:iCs w:val="1"/>
          <w:sz w:val="24"/>
          <w:szCs w:val="24"/>
          <w:rtl w:val="0"/>
        </w:rPr>
        <w:t xml:space="preserve">Computers and Electronics in Medicine</w:t>
      </w:r>
      <w:r w:rsidDel="00000000" w:rsidR="00000000" w:rsidRPr="00000000">
        <w:rPr>
          <w:rFonts w:ascii="Times New Roman" w:cs="Times New Roman" w:eastAsia="Times New Roman" w:hAnsi="Times New Roman"/>
          <w:sz w:val="24"/>
          <w:szCs w:val="24"/>
          <w:rtl w:val="0"/>
        </w:rPr>
        <w:t xml:space="preserve">, 1(1), 34–44.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https://doi.org/10.69882/adba.cem.2024075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S., &amp; Lee, S. (2017). A unified approach to interpreting model predictions.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https://doi.org/10.48550/arxiv.1705.07874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S. M., Erion, G., Chen, H., DeGrave, A., Prutkin, J. M., Nair, B., Katz, R., Himmelfarb, J., Bansal, N., &amp; Lee, S. (2019). Explainable AI for trees.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https://doi.org/10.48550/arxiv.1905.04610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Majcherek, D., Ciesielski, A., &amp; Sobczak, P. (2025). AI-driven analysis of diabetes risk determinants in U.S. adults.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20(9), e0328655.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https://doi.org/10.1371/journal.pone.0328655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Netayawijit, P., Chansanam, W., &amp; Sorn-In, K. (2025). Interpretable ML framework for diabetes prediction: Integrating SMOTE with SHAP. </w:t>
      </w:r>
      <w:r w:rsidDel="00000000" w:rsidR="00000000" w:rsidRPr="00000000">
        <w:rPr>
          <w:rFonts w:ascii="Times New Roman" w:cs="Times New Roman" w:eastAsia="Times New Roman" w:hAnsi="Times New Roman"/>
          <w:i w:val="1"/>
          <w:iCs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13(20), 2588.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https://doi.org/10.3390/healthcare13202588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C. T., Pham, N. M., Lee, A. H., &amp; Binns, C. W. (2015). Prevalence of and risk factors for type 2 diabetes mellitus in Vietnam. </w:t>
      </w:r>
      <w:r w:rsidDel="00000000" w:rsidR="00000000" w:rsidRPr="00000000">
        <w:rPr>
          <w:rFonts w:ascii="Times New Roman" w:cs="Times New Roman" w:eastAsia="Times New Roman" w:hAnsi="Times New Roman"/>
          <w:i w:val="1"/>
          <w:iCs w:val="1"/>
          <w:sz w:val="24"/>
          <w:szCs w:val="24"/>
          <w:rtl w:val="0"/>
        </w:rPr>
        <w:t xml:space="preserve">Asia Pacific Journal of Public Health</w:t>
      </w:r>
      <w:r w:rsidDel="00000000" w:rsidR="00000000" w:rsidRPr="00000000">
        <w:rPr>
          <w:rFonts w:ascii="Times New Roman" w:cs="Times New Roman" w:eastAsia="Times New Roman" w:hAnsi="Times New Roman"/>
          <w:sz w:val="24"/>
          <w:szCs w:val="24"/>
          <w:rtl w:val="0"/>
        </w:rPr>
        <w:t xml:space="preserve">, 27(6), 588–600.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https://doi.org/10.1177/1010539515595860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Rafie, Z., Talab, M. S., Koor, B. E. Z., Garavand, A., Salehnasab, C., &amp; Ghaderzadeh, M. (2025). Leveraging XGBoost and explainable AI for accurate prediction of type 2 diabetes. </w:t>
      </w:r>
      <w:r w:rsidDel="00000000" w:rsidR="00000000" w:rsidRPr="00000000">
        <w:rPr>
          <w:rFonts w:ascii="Times New Roman" w:cs="Times New Roman" w:eastAsia="Times New Roman" w:hAnsi="Times New Roman"/>
          <w:i w:val="1"/>
          <w:iCs w:val="1"/>
          <w:sz w:val="24"/>
          <w:szCs w:val="24"/>
          <w:rtl w:val="0"/>
        </w:rPr>
        <w:t xml:space="preserve">BMC Public Health</w:t>
      </w:r>
      <w:r w:rsidDel="00000000" w:rsidR="00000000" w:rsidRPr="00000000">
        <w:rPr>
          <w:rFonts w:ascii="Times New Roman" w:cs="Times New Roman" w:eastAsia="Times New Roman" w:hAnsi="Times New Roman"/>
          <w:sz w:val="24"/>
          <w:szCs w:val="24"/>
          <w:rtl w:val="0"/>
        </w:rPr>
        <w:t xml:space="preserve">, 25(1), 3688.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https://doi.org/10.1186/s12889-025-24953-w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Rezki, M. K., Mazdadi, M. I., Indriani, F., Muliadi, M., Saragih, T. H., &amp; Athavale, V. A. (2024). Application of SMOTE to address class imbalance in diabetes classification. </w:t>
      </w:r>
      <w:r w:rsidDel="00000000" w:rsidR="00000000" w:rsidRPr="00000000">
        <w:rPr>
          <w:rFonts w:ascii="Times New Roman" w:cs="Times New Roman" w:eastAsia="Times New Roman" w:hAnsi="Times New Roman"/>
          <w:i w:val="1"/>
          <w:iCs w:val="1"/>
          <w:sz w:val="24"/>
          <w:szCs w:val="24"/>
          <w:rtl w:val="0"/>
        </w:rPr>
        <w:t xml:space="preserve">Journal of Electronics Electromedical Engineering and Medical Informatics</w:t>
      </w:r>
      <w:r w:rsidDel="00000000" w:rsidR="00000000" w:rsidRPr="00000000">
        <w:rPr>
          <w:rFonts w:ascii="Times New Roman" w:cs="Times New Roman" w:eastAsia="Times New Roman" w:hAnsi="Times New Roman"/>
          <w:sz w:val="24"/>
          <w:szCs w:val="24"/>
          <w:rtl w:val="0"/>
        </w:rPr>
        <w:t xml:space="preserve">, 6(4), 343–354.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https://doi.org/10.35882/jeeemi.v6i4.434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Rossi, D., Citarella, A. A., De Marco, F., Di Biasi, L., Zheng, H., &amp; Tortora, G. (2026). D.R.E.A.M: Diabetes risk via explainable AI modeling. </w:t>
      </w:r>
      <w:r w:rsidDel="00000000" w:rsidR="00000000" w:rsidRPr="00000000">
        <w:rPr>
          <w:rFonts w:ascii="Times New Roman" w:cs="Times New Roman" w:eastAsia="Times New Roman" w:hAnsi="Times New Roman"/>
          <w:i w:val="1"/>
          <w:iCs w:val="1"/>
          <w:sz w:val="24"/>
          <w:szCs w:val="24"/>
          <w:rtl w:val="0"/>
        </w:rPr>
        <w:t xml:space="preserve">Multimedia Tools and Applications</w:t>
      </w:r>
      <w:r w:rsidDel="00000000" w:rsidR="00000000" w:rsidRPr="00000000">
        <w:rPr>
          <w:rFonts w:ascii="Times New Roman" w:cs="Times New Roman" w:eastAsia="Times New Roman" w:hAnsi="Times New Roman"/>
          <w:sz w:val="24"/>
          <w:szCs w:val="24"/>
          <w:rtl w:val="0"/>
        </w:rPr>
        <w:t xml:space="preserve">, 85(2). </w:t>
      </w:r>
      <w:hyperlink r:id="rId30">
        <w:r w:rsidDel="00000000" w:rsidR="00000000" w:rsidRPr="00000000">
          <w:rPr>
            <w:rFonts w:ascii="Times New Roman" w:cs="Times New Roman" w:eastAsia="Times New Roman" w:hAnsi="Times New Roman"/>
            <w:color w:val="1155cc"/>
            <w:sz w:val="24"/>
            <w:szCs w:val="24"/>
            <w:u w:val="single"/>
            <w:rtl w:val="0"/>
          </w:rPr>
          <w:t xml:space="preserve">https://doi.org/10.1007/s11042-026-21240-7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8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Vuong, T. B., Tran, T. M., &amp; Tran, N. Q. (2024). High prevalence of prediabetes and type 2 diabetes in high-risk adults in Vietnam. </w:t>
      </w:r>
      <w:r w:rsidDel="00000000" w:rsidR="00000000" w:rsidRPr="00000000">
        <w:rPr>
          <w:rFonts w:ascii="Times New Roman" w:cs="Times New Roman" w:eastAsia="Times New Roman" w:hAnsi="Times New Roman"/>
          <w:i w:val="1"/>
          <w:iCs w:val="1"/>
          <w:sz w:val="24"/>
          <w:szCs w:val="24"/>
          <w:rtl w:val="0"/>
        </w:rPr>
        <w:t xml:space="preserve">Diabetes Epidemiology and Management</w:t>
      </w:r>
      <w:r w:rsidDel="00000000" w:rsidR="00000000" w:rsidRPr="00000000">
        <w:rPr>
          <w:rFonts w:ascii="Times New Roman" w:cs="Times New Roman" w:eastAsia="Times New Roman" w:hAnsi="Times New Roman"/>
          <w:sz w:val="24"/>
          <w:szCs w:val="24"/>
          <w:rtl w:val="0"/>
        </w:rPr>
        <w:t xml:space="preserve">, 17, 100239.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https://doi.org/10.1016/j.deman.2024.100239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2/eng2.13080" TargetMode="External"/><Relationship Id="rId22" Type="http://schemas.openxmlformats.org/officeDocument/2006/relationships/hyperlink" Target="https://doi.org/10.69882/adba.cem.2024075" TargetMode="External"/><Relationship Id="rId21" Type="http://schemas.openxmlformats.org/officeDocument/2006/relationships/hyperlink" Target="https://hal.science/hal-03953007" TargetMode="External"/><Relationship Id="rId24" Type="http://schemas.openxmlformats.org/officeDocument/2006/relationships/hyperlink" Target="https://doi.org/10.48550/arxiv.1905.04610" TargetMode="External"/><Relationship Id="rId23" Type="http://schemas.openxmlformats.org/officeDocument/2006/relationships/hyperlink" Target="https://doi.org/10.48550/arxiv.1705.078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access.2024.3422319" TargetMode="External"/><Relationship Id="rId26" Type="http://schemas.openxmlformats.org/officeDocument/2006/relationships/hyperlink" Target="https://doi.org/10.3390/healthcare13202588" TargetMode="External"/><Relationship Id="rId25" Type="http://schemas.openxmlformats.org/officeDocument/2006/relationships/hyperlink" Target="https://doi.org/10.1371/journal.pone.0328655" TargetMode="External"/><Relationship Id="rId28" Type="http://schemas.openxmlformats.org/officeDocument/2006/relationships/hyperlink" Target="https://doi.org/10.1186/s12889-025-24953-w" TargetMode="External"/><Relationship Id="rId27" Type="http://schemas.openxmlformats.org/officeDocument/2006/relationships/hyperlink" Target="https://doi.org/10.1177/1010539515595860" TargetMode="External"/><Relationship Id="rId5" Type="http://schemas.openxmlformats.org/officeDocument/2006/relationships/styles" Target="styles.xml"/><Relationship Id="rId6" Type="http://schemas.openxmlformats.org/officeDocument/2006/relationships/hyperlink" Target="https://ci.nii.ac.jp/naid/10000112747" TargetMode="External"/><Relationship Id="rId29" Type="http://schemas.openxmlformats.org/officeDocument/2006/relationships/hyperlink" Target="https://doi.org/10.35882/jeeemi.v6i4.434" TargetMode="External"/><Relationship Id="rId7" Type="http://schemas.openxmlformats.org/officeDocument/2006/relationships/hyperlink" Target="https://doi.org/10.1155/acis/1013769" TargetMode="External"/><Relationship Id="rId8" Type="http://schemas.openxmlformats.org/officeDocument/2006/relationships/hyperlink" Target="https://doi.org/10.13005/bpj/3350" TargetMode="External"/><Relationship Id="rId31" Type="http://schemas.openxmlformats.org/officeDocument/2006/relationships/hyperlink" Target="https://doi.org/10.1016/j.deman.2024.100239" TargetMode="External"/><Relationship Id="rId30" Type="http://schemas.openxmlformats.org/officeDocument/2006/relationships/hyperlink" Target="https://doi.org/10.1007/s11042-026-21240-7" TargetMode="External"/><Relationship Id="rId11" Type="http://schemas.openxmlformats.org/officeDocument/2006/relationships/hyperlink" Target="https://doi.org/10.4103/atmr.atmr_41_25" TargetMode="External"/><Relationship Id="rId10" Type="http://schemas.openxmlformats.org/officeDocument/2006/relationships/hyperlink" Target="https://arxiv.org/abs/1907.10902" TargetMode="External"/><Relationship Id="rId13" Type="http://schemas.openxmlformats.org/officeDocument/2006/relationships/hyperlink" Target="https://doi.org/10.1023/a:1010933404324" TargetMode="External"/><Relationship Id="rId12" Type="http://schemas.openxmlformats.org/officeDocument/2006/relationships/hyperlink" Target="https://doi.org/10.1186/s12911-025-03206-1" TargetMode="External"/><Relationship Id="rId15" Type="http://schemas.openxmlformats.org/officeDocument/2006/relationships/hyperlink" Target="https://doi.org/10.48550/arxiv.1603.02754" TargetMode="External"/><Relationship Id="rId14" Type="http://schemas.openxmlformats.org/officeDocument/2006/relationships/hyperlink" Target="https://doi.org/10.1613/jair.953" TargetMode="External"/><Relationship Id="rId17" Type="http://schemas.openxmlformats.org/officeDocument/2006/relationships/hyperlink" Target="https://doi.org/10.20944/preprints202504.1724.v1" TargetMode="External"/><Relationship Id="rId16" Type="http://schemas.openxmlformats.org/officeDocument/2006/relationships/hyperlink" Target="https://doi.org/10.1093/ndt/gfaf177" TargetMode="External"/><Relationship Id="rId19" Type="http://schemas.openxmlformats.org/officeDocument/2006/relationships/hyperlink" Target="https://doi.org/10.1145/335191.335372" TargetMode="External"/><Relationship Id="rId18" Type="http://schemas.openxmlformats.org/officeDocument/2006/relationships/hyperlink" Target="https://doi.org/10.11591/ijict.v13i3.pp445-4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