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b/>
          <w:color w:val="763030"/>
          <w:sz w:val="36"/>
        </w:rPr>
        <w:t>Lösungen  ·  Die elektrische Feldstärke</w:t>
      </w:r>
    </w:p>
    <w:p>
      <w:pPr>
        <w:spacing w:after="200"/>
      </w:pPr>
      <w:r>
        <w:rPr>
          <w:color w:val="555555"/>
          <w:sz w:val="20"/>
        </w:rPr>
        <w:t>Kraft auf eine Probeladung im Plattenkondensator  ·  Simulation: feldstaerke.html  ·  nur für die Lehrkraft</w:t>
      </w:r>
    </w:p>
    <w:tbl>
      <w:tblPr>
        <w:tblW w:type="auto" w:w="0"/>
        <w:jc w:val="left"/>
        <w:tblLook w:firstColumn="1" w:firstRow="1" w:lastColumn="0" w:lastRow="0" w:noHBand="0" w:noVBand="1" w:val="04A0"/>
      </w:tblPr>
      <w:tblGrid>
        <w:gridCol w:w="9638"/>
      </w:tblGrid>
      <w:tr>
        <w:tc>
          <w:tcPr>
            <w:tcW w:type="dxa" w:w="9638"/>
            <w:tcBorders>
              <w:top w:val="single" w:sz="8" w:space="0" w:color="763030"/>
              <w:left w:val="single" w:sz="18" w:space="0" w:color="763030"/>
              <w:bottom w:val="single" w:sz="8" w:space="0" w:color="763030"/>
              <w:right w:val="single" w:sz="8" w:space="0" w:color="763030"/>
            </w:tcBorders>
            <w:shd w:val="clear" w:color="auto" w:fill="F5EAEA"/>
          </w:tcPr>
          <w:p>
            <w:pPr>
              <w:spacing w:after="40"/>
            </w:pPr>
            <w:r>
              <w:rPr>
                <w:b/>
                <w:sz w:val="22"/>
              </w:rPr>
              <w:t>Eingestellte Werte</w:t>
            </w:r>
          </w:p>
          <w:p>
            <w:pPr>
              <w:spacing w:after="40"/>
            </w:pPr>
            <w:r>
              <w:rPr>
                <w:b w:val="0"/>
                <w:sz w:val="21"/>
              </w:rPr>
              <w:t>U = 2000 V,   d = 10,0 cm,   A = 500 cm²    →    E = U/d = 2000 V / 0,10 m = 20 000 V/m = 20 kV/m</w:t>
            </w:r>
          </w:p>
          <w:p>
            <w:pPr>
              <w:spacing w:after="40"/>
            </w:pPr>
            <w:r>
              <w:rPr>
                <w:b w:val="0"/>
                <w:sz w:val="21"/>
              </w:rPr>
              <w:t>Wichtig: zuerst auf „Ideale Daten“ umstellen – die Simulation startet real.</w:t>
            </w:r>
          </w:p>
          <w:p>
            <w:pPr>
              <w:spacing w:after="40"/>
            </w:pPr>
            <w:r>
              <w:rPr>
                <w:b w:val="0"/>
                <w:sz w:val="21"/>
              </w:rPr>
              <w:t>Damit ist F = q · E = 20 µN je nC. Die Messwerte fallen glatt aus, und die Ausgleichsgerade verläuft genau von der linken unteren zur rechten oberen Ecke des vorbereiteten Rasters.</w:t>
            </w:r>
          </w:p>
        </w:tc>
      </w:tr>
    </w:tbl>
    <w:p>
      <w:pPr>
        <w:spacing w:before="180" w:after="80"/>
        <w:pBdr>
          <w:bottom w:val="single" w:sz="6" w:space="0" w:color="763030"/>
        </w:pBdr>
      </w:pPr>
      <w:r>
        <w:rPr>
          <w:b/>
          <w:color w:val="763030"/>
          <w:sz w:val="24"/>
        </w:rPr>
        <w:t>3   Wertetabelle</w:t>
      </w:r>
    </w:p>
    <w:tbl>
      <w:tblPr>
        <w:tblW w:type="auto" w:w="0"/>
        <w:jc w:val="left"/>
        <w:tblLayout w:type="fixed"/>
        <w:tblLook w:firstColumn="1" w:firstRow="1" w:lastColumn="0" w:lastRow="0" w:noHBand="0" w:noVBand="1" w:val="04A0"/>
      </w:tblPr>
      <w:tblGrid>
        <w:gridCol w:w="2409"/>
        <w:gridCol w:w="2409"/>
        <w:gridCol w:w="2409"/>
        <w:gridCol w:w="2409"/>
      </w:tblGrid>
      <w:tr>
        <w:tc>
          <w:tcPr>
            <w:tcW w:type="dxa" w:w="907"/>
            <w:shd w:val="clear" w:color="auto" w:fill="EFE0E0"/>
            <w:tcBorders>
              <w:top w:val="single" w:sz="8" w:space="0" w:color="763030"/>
              <w:left w:val="single" w:sz="4" w:space="0" w:color="C09090"/>
              <w:bottom w:val="single" w:sz="8" w:space="0" w:color="763030"/>
              <w:right w:val="single" w:sz="4" w:space="0" w:color="C09090"/>
            </w:tcBorders>
          </w:tcPr>
          <w:p>
            <w:pPr>
              <w:spacing w:after="40" w:before="40"/>
              <w:jc w:val="center"/>
            </w:pPr>
            <w:r>
              <w:rPr>
                <w:b/>
                <w:sz w:val="20"/>
              </w:rPr>
              <w:t>Nr.</w:t>
            </w:r>
          </w:p>
        </w:tc>
        <w:tc>
          <w:tcPr>
            <w:tcW w:type="dxa" w:w="1928"/>
            <w:shd w:val="clear" w:color="auto" w:fill="EFE0E0"/>
            <w:tcBorders>
              <w:top w:val="single" w:sz="8" w:space="0" w:color="763030"/>
              <w:left w:val="single" w:sz="4" w:space="0" w:color="C09090"/>
              <w:bottom w:val="single" w:sz="8" w:space="0" w:color="763030"/>
              <w:right w:val="single" w:sz="4" w:space="0" w:color="C09090"/>
            </w:tcBorders>
          </w:tcPr>
          <w:p>
            <w:pPr>
              <w:spacing w:after="40" w:before="40"/>
              <w:jc w:val="center"/>
            </w:pPr>
            <w:r>
              <w:rPr>
                <w:b/>
                <w:sz w:val="20"/>
              </w:rPr>
              <w:t>q in nC</w:t>
            </w:r>
          </w:p>
        </w:tc>
        <w:tc>
          <w:tcPr>
            <w:tcW w:type="dxa" w:w="1928"/>
            <w:shd w:val="clear" w:color="auto" w:fill="EFE0E0"/>
            <w:tcBorders>
              <w:top w:val="single" w:sz="8" w:space="0" w:color="763030"/>
              <w:left w:val="single" w:sz="4" w:space="0" w:color="C09090"/>
              <w:bottom w:val="single" w:sz="8" w:space="0" w:color="763030"/>
              <w:right w:val="single" w:sz="4" w:space="0" w:color="C09090"/>
            </w:tcBorders>
          </w:tcPr>
          <w:p>
            <w:pPr>
              <w:spacing w:after="40" w:before="40"/>
              <w:jc w:val="center"/>
            </w:pPr>
            <w:r>
              <w:rPr>
                <w:b/>
                <w:sz w:val="20"/>
              </w:rPr>
              <w:t>F in µN</w:t>
            </w:r>
          </w:p>
        </w:tc>
        <w:tc>
          <w:tcPr>
            <w:tcW w:type="dxa" w:w="2381"/>
            <w:shd w:val="clear" w:color="auto" w:fill="EFE0E0"/>
            <w:tcBorders>
              <w:top w:val="single" w:sz="8" w:space="0" w:color="763030"/>
              <w:left w:val="single" w:sz="4" w:space="0" w:color="C09090"/>
              <w:bottom w:val="single" w:sz="8" w:space="0" w:color="763030"/>
              <w:right w:val="single" w:sz="4" w:space="0" w:color="C09090"/>
            </w:tcBorders>
          </w:tcPr>
          <w:p>
            <w:pPr>
              <w:spacing w:after="40" w:before="40"/>
              <w:jc w:val="center"/>
            </w:pPr>
            <w:r>
              <w:rPr>
                <w:b/>
                <w:sz w:val="20"/>
              </w:rPr>
              <w:t>F / q in µN/nC</w:t>
            </w:r>
          </w:p>
        </w:tc>
      </w:tr>
      <w:tr>
        <w:trPr>
          <w:trHeight w:val="266"/>
        </w:trPr>
        <w:tc>
          <w:tcPr>
            <w:tcW w:type="dxa" w:w="907"/>
            <w:vAlign w:val="center"/>
            <w:tcBorders>
              <w:top w:val="single" w:sz="4" w:space="0" w:color="B7B7B7"/>
              <w:left w:val="single" w:sz="4" w:space="0" w:color="B7B7B7"/>
              <w:bottom w:val="single" w:sz="4" w:space="0" w:color="B7B7B7"/>
              <w:right w:val="single" w:sz="4" w:space="0" w:color="B7B7B7"/>
            </w:tcBorders>
          </w:tcPr>
          <w:p>
            <w:pPr>
              <w:spacing w:after="0"/>
              <w:jc w:val="center"/>
            </w:pPr>
            <w:r>
              <w:rPr>
                <w:color w:val="555555"/>
                <w:sz w:val="20"/>
              </w:rPr>
              <w:t>1</w:t>
            </w:r>
          </w:p>
        </w:tc>
        <w:tc>
          <w:tcPr>
            <w:tcW w:type="dxa" w:w="1928"/>
            <w:vAlign w:val="center"/>
            <w:tcBorders>
              <w:top w:val="single" w:sz="4" w:space="0" w:color="B7B7B7"/>
              <w:left w:val="single" w:sz="4" w:space="0" w:color="B7B7B7"/>
              <w:bottom w:val="single" w:sz="4" w:space="0" w:color="B7B7B7"/>
              <w:right w:val="single" w:sz="4" w:space="0" w:color="B7B7B7"/>
            </w:tcBorders>
          </w:tcPr>
          <w:p>
            <w:pPr>
              <w:spacing w:after="0"/>
              <w:jc w:val="center"/>
            </w:pPr>
            <w:r>
              <w:rPr>
                <w:sz w:val="20"/>
              </w:rPr>
              <w:t>0</w:t>
            </w:r>
          </w:p>
        </w:tc>
        <w:tc>
          <w:tcPr>
            <w:tcW w:type="dxa" w:w="1928"/>
            <w:vAlign w:val="center"/>
            <w:tcBorders>
              <w:top w:val="single" w:sz="4" w:space="0" w:color="B7B7B7"/>
              <w:left w:val="single" w:sz="4" w:space="0" w:color="B7B7B7"/>
              <w:bottom w:val="single" w:sz="4" w:space="0" w:color="B7B7B7"/>
              <w:right w:val="single" w:sz="4" w:space="0" w:color="B7B7B7"/>
            </w:tcBorders>
          </w:tcPr>
          <w:p>
            <w:pPr>
              <w:spacing w:after="0"/>
              <w:jc w:val="center"/>
            </w:pPr>
            <w:r>
              <w:rPr>
                <w:sz w:val="20"/>
              </w:rPr>
              <w:t>0,00</w:t>
            </w:r>
          </w:p>
        </w:tc>
        <w:tc>
          <w:tcPr>
            <w:tcW w:type="dxa" w:w="2381"/>
            <w:vAlign w:val="center"/>
            <w:tcBorders>
              <w:top w:val="single" w:sz="4" w:space="0" w:color="B7B7B7"/>
              <w:left w:val="single" w:sz="4" w:space="0" w:color="B7B7B7"/>
              <w:bottom w:val="single" w:sz="4" w:space="0" w:color="B7B7B7"/>
              <w:right w:val="single" w:sz="4" w:space="0" w:color="B7B7B7"/>
            </w:tcBorders>
          </w:tcPr>
          <w:p>
            <w:pPr>
              <w:spacing w:after="0"/>
              <w:jc w:val="center"/>
            </w:pPr>
            <w:r>
              <w:rPr>
                <w:sz w:val="20"/>
              </w:rPr>
              <w:t>—</w:t>
            </w:r>
          </w:p>
        </w:tc>
      </w:tr>
      <w:tr>
        <w:trPr>
          <w:trHeight w:val="266"/>
        </w:trPr>
        <w:tc>
          <w:tcPr>
            <w:tcW w:type="dxa" w:w="907"/>
            <w:vAlign w:val="center"/>
            <w:tcBorders>
              <w:top w:val="single" w:sz="4" w:space="0" w:color="B7B7B7"/>
              <w:left w:val="single" w:sz="4" w:space="0" w:color="B7B7B7"/>
              <w:bottom w:val="single" w:sz="4" w:space="0" w:color="B7B7B7"/>
              <w:right w:val="single" w:sz="4" w:space="0" w:color="B7B7B7"/>
            </w:tcBorders>
          </w:tcPr>
          <w:p>
            <w:pPr>
              <w:spacing w:after="0"/>
              <w:jc w:val="center"/>
            </w:pPr>
            <w:r>
              <w:rPr>
                <w:color w:val="555555"/>
                <w:sz w:val="20"/>
              </w:rPr>
              <w:t>2</w:t>
            </w:r>
          </w:p>
        </w:tc>
        <w:tc>
          <w:tcPr>
            <w:tcW w:type="dxa" w:w="1928"/>
            <w:vAlign w:val="center"/>
            <w:tcBorders>
              <w:top w:val="single" w:sz="4" w:space="0" w:color="B7B7B7"/>
              <w:left w:val="single" w:sz="4" w:space="0" w:color="B7B7B7"/>
              <w:bottom w:val="single" w:sz="4" w:space="0" w:color="B7B7B7"/>
              <w:right w:val="single" w:sz="4" w:space="0" w:color="B7B7B7"/>
            </w:tcBorders>
          </w:tcPr>
          <w:p>
            <w:pPr>
              <w:spacing w:after="0"/>
              <w:jc w:val="center"/>
            </w:pPr>
            <w:r>
              <w:rPr>
                <w:sz w:val="20"/>
              </w:rPr>
              <w:t>1</w:t>
            </w:r>
          </w:p>
        </w:tc>
        <w:tc>
          <w:tcPr>
            <w:tcW w:type="dxa" w:w="1928"/>
            <w:vAlign w:val="center"/>
            <w:tcBorders>
              <w:top w:val="single" w:sz="4" w:space="0" w:color="B7B7B7"/>
              <w:left w:val="single" w:sz="4" w:space="0" w:color="B7B7B7"/>
              <w:bottom w:val="single" w:sz="4" w:space="0" w:color="B7B7B7"/>
              <w:right w:val="single" w:sz="4" w:space="0" w:color="B7B7B7"/>
            </w:tcBorders>
          </w:tcPr>
          <w:p>
            <w:pPr>
              <w:spacing w:after="0"/>
              <w:jc w:val="center"/>
            </w:pPr>
            <w:r>
              <w:rPr>
                <w:sz w:val="20"/>
              </w:rPr>
              <w:t>20,00</w:t>
            </w:r>
          </w:p>
        </w:tc>
        <w:tc>
          <w:tcPr>
            <w:tcW w:type="dxa" w:w="2381"/>
            <w:vAlign w:val="center"/>
            <w:tcBorders>
              <w:top w:val="single" w:sz="4" w:space="0" w:color="B7B7B7"/>
              <w:left w:val="single" w:sz="4" w:space="0" w:color="B7B7B7"/>
              <w:bottom w:val="single" w:sz="4" w:space="0" w:color="B7B7B7"/>
              <w:right w:val="single" w:sz="4" w:space="0" w:color="B7B7B7"/>
            </w:tcBorders>
          </w:tcPr>
          <w:p>
            <w:pPr>
              <w:spacing w:after="0"/>
              <w:jc w:val="center"/>
            </w:pPr>
            <w:r>
              <w:rPr>
                <w:b/>
                <w:color w:val="1F4E79"/>
                <w:sz w:val="20"/>
              </w:rPr>
              <w:t>20</w:t>
            </w:r>
          </w:p>
        </w:tc>
      </w:tr>
      <w:tr>
        <w:trPr>
          <w:trHeight w:val="266"/>
        </w:trPr>
        <w:tc>
          <w:tcPr>
            <w:tcW w:type="dxa" w:w="907"/>
            <w:vAlign w:val="center"/>
            <w:tcBorders>
              <w:top w:val="single" w:sz="4" w:space="0" w:color="B7B7B7"/>
              <w:left w:val="single" w:sz="4" w:space="0" w:color="B7B7B7"/>
              <w:bottom w:val="single" w:sz="4" w:space="0" w:color="B7B7B7"/>
              <w:right w:val="single" w:sz="4" w:space="0" w:color="B7B7B7"/>
            </w:tcBorders>
          </w:tcPr>
          <w:p>
            <w:pPr>
              <w:spacing w:after="0"/>
              <w:jc w:val="center"/>
            </w:pPr>
            <w:r>
              <w:rPr>
                <w:color w:val="555555"/>
                <w:sz w:val="20"/>
              </w:rPr>
              <w:t>3</w:t>
            </w:r>
          </w:p>
        </w:tc>
        <w:tc>
          <w:tcPr>
            <w:tcW w:type="dxa" w:w="1928"/>
            <w:vAlign w:val="center"/>
            <w:tcBorders>
              <w:top w:val="single" w:sz="4" w:space="0" w:color="B7B7B7"/>
              <w:left w:val="single" w:sz="4" w:space="0" w:color="B7B7B7"/>
              <w:bottom w:val="single" w:sz="4" w:space="0" w:color="B7B7B7"/>
              <w:right w:val="single" w:sz="4" w:space="0" w:color="B7B7B7"/>
            </w:tcBorders>
          </w:tcPr>
          <w:p>
            <w:pPr>
              <w:spacing w:after="0"/>
              <w:jc w:val="center"/>
            </w:pPr>
            <w:r>
              <w:rPr>
                <w:sz w:val="20"/>
              </w:rPr>
              <w:t>2</w:t>
            </w:r>
          </w:p>
        </w:tc>
        <w:tc>
          <w:tcPr>
            <w:tcW w:type="dxa" w:w="1928"/>
            <w:vAlign w:val="center"/>
            <w:tcBorders>
              <w:top w:val="single" w:sz="4" w:space="0" w:color="B7B7B7"/>
              <w:left w:val="single" w:sz="4" w:space="0" w:color="B7B7B7"/>
              <w:bottom w:val="single" w:sz="4" w:space="0" w:color="B7B7B7"/>
              <w:right w:val="single" w:sz="4" w:space="0" w:color="B7B7B7"/>
            </w:tcBorders>
          </w:tcPr>
          <w:p>
            <w:pPr>
              <w:spacing w:after="0"/>
              <w:jc w:val="center"/>
            </w:pPr>
            <w:r>
              <w:rPr>
                <w:sz w:val="20"/>
              </w:rPr>
              <w:t>40,00</w:t>
            </w:r>
          </w:p>
        </w:tc>
        <w:tc>
          <w:tcPr>
            <w:tcW w:type="dxa" w:w="2381"/>
            <w:vAlign w:val="center"/>
            <w:tcBorders>
              <w:top w:val="single" w:sz="4" w:space="0" w:color="B7B7B7"/>
              <w:left w:val="single" w:sz="4" w:space="0" w:color="B7B7B7"/>
              <w:bottom w:val="single" w:sz="4" w:space="0" w:color="B7B7B7"/>
              <w:right w:val="single" w:sz="4" w:space="0" w:color="B7B7B7"/>
            </w:tcBorders>
          </w:tcPr>
          <w:p>
            <w:pPr>
              <w:spacing w:after="0"/>
              <w:jc w:val="center"/>
            </w:pPr>
            <w:r>
              <w:rPr>
                <w:b/>
                <w:color w:val="1F4E79"/>
                <w:sz w:val="20"/>
              </w:rPr>
              <w:t>20</w:t>
            </w:r>
          </w:p>
        </w:tc>
      </w:tr>
      <w:tr>
        <w:trPr>
          <w:trHeight w:val="266"/>
        </w:trPr>
        <w:tc>
          <w:tcPr>
            <w:tcW w:type="dxa" w:w="907"/>
            <w:vAlign w:val="center"/>
            <w:tcBorders>
              <w:top w:val="single" w:sz="4" w:space="0" w:color="B7B7B7"/>
              <w:left w:val="single" w:sz="4" w:space="0" w:color="B7B7B7"/>
              <w:bottom w:val="single" w:sz="4" w:space="0" w:color="B7B7B7"/>
              <w:right w:val="single" w:sz="4" w:space="0" w:color="B7B7B7"/>
            </w:tcBorders>
          </w:tcPr>
          <w:p>
            <w:pPr>
              <w:spacing w:after="0"/>
              <w:jc w:val="center"/>
            </w:pPr>
            <w:r>
              <w:rPr>
                <w:color w:val="555555"/>
                <w:sz w:val="20"/>
              </w:rPr>
              <w:t>4</w:t>
            </w:r>
          </w:p>
        </w:tc>
        <w:tc>
          <w:tcPr>
            <w:tcW w:type="dxa" w:w="1928"/>
            <w:vAlign w:val="center"/>
            <w:tcBorders>
              <w:top w:val="single" w:sz="4" w:space="0" w:color="B7B7B7"/>
              <w:left w:val="single" w:sz="4" w:space="0" w:color="B7B7B7"/>
              <w:bottom w:val="single" w:sz="4" w:space="0" w:color="B7B7B7"/>
              <w:right w:val="single" w:sz="4" w:space="0" w:color="B7B7B7"/>
            </w:tcBorders>
          </w:tcPr>
          <w:p>
            <w:pPr>
              <w:spacing w:after="0"/>
              <w:jc w:val="center"/>
            </w:pPr>
            <w:r>
              <w:rPr>
                <w:sz w:val="20"/>
              </w:rPr>
              <w:t>3</w:t>
            </w:r>
          </w:p>
        </w:tc>
        <w:tc>
          <w:tcPr>
            <w:tcW w:type="dxa" w:w="1928"/>
            <w:vAlign w:val="center"/>
            <w:tcBorders>
              <w:top w:val="single" w:sz="4" w:space="0" w:color="B7B7B7"/>
              <w:left w:val="single" w:sz="4" w:space="0" w:color="B7B7B7"/>
              <w:bottom w:val="single" w:sz="4" w:space="0" w:color="B7B7B7"/>
              <w:right w:val="single" w:sz="4" w:space="0" w:color="B7B7B7"/>
            </w:tcBorders>
          </w:tcPr>
          <w:p>
            <w:pPr>
              <w:spacing w:after="0"/>
              <w:jc w:val="center"/>
            </w:pPr>
            <w:r>
              <w:rPr>
                <w:sz w:val="20"/>
              </w:rPr>
              <w:t>60,00</w:t>
            </w:r>
          </w:p>
        </w:tc>
        <w:tc>
          <w:tcPr>
            <w:tcW w:type="dxa" w:w="2381"/>
            <w:vAlign w:val="center"/>
            <w:tcBorders>
              <w:top w:val="single" w:sz="4" w:space="0" w:color="B7B7B7"/>
              <w:left w:val="single" w:sz="4" w:space="0" w:color="B7B7B7"/>
              <w:bottom w:val="single" w:sz="4" w:space="0" w:color="B7B7B7"/>
              <w:right w:val="single" w:sz="4" w:space="0" w:color="B7B7B7"/>
            </w:tcBorders>
          </w:tcPr>
          <w:p>
            <w:pPr>
              <w:spacing w:after="0"/>
              <w:jc w:val="center"/>
            </w:pPr>
            <w:r>
              <w:rPr>
                <w:b/>
                <w:color w:val="1F4E79"/>
                <w:sz w:val="20"/>
              </w:rPr>
              <w:t>20</w:t>
            </w:r>
          </w:p>
        </w:tc>
      </w:tr>
      <w:tr>
        <w:trPr>
          <w:trHeight w:val="266"/>
        </w:trPr>
        <w:tc>
          <w:tcPr>
            <w:tcW w:type="dxa" w:w="907"/>
            <w:vAlign w:val="center"/>
            <w:tcBorders>
              <w:top w:val="single" w:sz="4" w:space="0" w:color="B7B7B7"/>
              <w:left w:val="single" w:sz="4" w:space="0" w:color="B7B7B7"/>
              <w:bottom w:val="single" w:sz="4" w:space="0" w:color="B7B7B7"/>
              <w:right w:val="single" w:sz="4" w:space="0" w:color="B7B7B7"/>
            </w:tcBorders>
          </w:tcPr>
          <w:p>
            <w:pPr>
              <w:spacing w:after="0"/>
              <w:jc w:val="center"/>
            </w:pPr>
            <w:r>
              <w:rPr>
                <w:color w:val="555555"/>
                <w:sz w:val="20"/>
              </w:rPr>
              <w:t>5</w:t>
            </w:r>
          </w:p>
        </w:tc>
        <w:tc>
          <w:tcPr>
            <w:tcW w:type="dxa" w:w="1928"/>
            <w:vAlign w:val="center"/>
            <w:tcBorders>
              <w:top w:val="single" w:sz="4" w:space="0" w:color="B7B7B7"/>
              <w:left w:val="single" w:sz="4" w:space="0" w:color="B7B7B7"/>
              <w:bottom w:val="single" w:sz="4" w:space="0" w:color="B7B7B7"/>
              <w:right w:val="single" w:sz="4" w:space="0" w:color="B7B7B7"/>
            </w:tcBorders>
          </w:tcPr>
          <w:p>
            <w:pPr>
              <w:spacing w:after="0"/>
              <w:jc w:val="center"/>
            </w:pPr>
            <w:r>
              <w:rPr>
                <w:sz w:val="20"/>
              </w:rPr>
              <w:t>4</w:t>
            </w:r>
          </w:p>
        </w:tc>
        <w:tc>
          <w:tcPr>
            <w:tcW w:type="dxa" w:w="1928"/>
            <w:vAlign w:val="center"/>
            <w:tcBorders>
              <w:top w:val="single" w:sz="4" w:space="0" w:color="B7B7B7"/>
              <w:left w:val="single" w:sz="4" w:space="0" w:color="B7B7B7"/>
              <w:bottom w:val="single" w:sz="4" w:space="0" w:color="B7B7B7"/>
              <w:right w:val="single" w:sz="4" w:space="0" w:color="B7B7B7"/>
            </w:tcBorders>
          </w:tcPr>
          <w:p>
            <w:pPr>
              <w:spacing w:after="0"/>
              <w:jc w:val="center"/>
            </w:pPr>
            <w:r>
              <w:rPr>
                <w:sz w:val="20"/>
              </w:rPr>
              <w:t>80,00</w:t>
            </w:r>
          </w:p>
        </w:tc>
        <w:tc>
          <w:tcPr>
            <w:tcW w:type="dxa" w:w="2381"/>
            <w:vAlign w:val="center"/>
            <w:tcBorders>
              <w:top w:val="single" w:sz="4" w:space="0" w:color="B7B7B7"/>
              <w:left w:val="single" w:sz="4" w:space="0" w:color="B7B7B7"/>
              <w:bottom w:val="single" w:sz="4" w:space="0" w:color="B7B7B7"/>
              <w:right w:val="single" w:sz="4" w:space="0" w:color="B7B7B7"/>
            </w:tcBorders>
          </w:tcPr>
          <w:p>
            <w:pPr>
              <w:spacing w:after="0"/>
              <w:jc w:val="center"/>
            </w:pPr>
            <w:r>
              <w:rPr>
                <w:b/>
                <w:color w:val="1F4E79"/>
                <w:sz w:val="20"/>
              </w:rPr>
              <w:t>20</w:t>
            </w:r>
          </w:p>
        </w:tc>
      </w:tr>
      <w:tr>
        <w:trPr>
          <w:trHeight w:val="266"/>
        </w:trPr>
        <w:tc>
          <w:tcPr>
            <w:tcW w:type="dxa" w:w="907"/>
            <w:vAlign w:val="center"/>
            <w:tcBorders>
              <w:top w:val="single" w:sz="4" w:space="0" w:color="B7B7B7"/>
              <w:left w:val="single" w:sz="4" w:space="0" w:color="B7B7B7"/>
              <w:bottom w:val="single" w:sz="4" w:space="0" w:color="B7B7B7"/>
              <w:right w:val="single" w:sz="4" w:space="0" w:color="B7B7B7"/>
            </w:tcBorders>
          </w:tcPr>
          <w:p>
            <w:pPr>
              <w:spacing w:after="0"/>
              <w:jc w:val="center"/>
            </w:pPr>
            <w:r>
              <w:rPr>
                <w:color w:val="555555"/>
                <w:sz w:val="20"/>
              </w:rPr>
              <w:t>6</w:t>
            </w:r>
          </w:p>
        </w:tc>
        <w:tc>
          <w:tcPr>
            <w:tcW w:type="dxa" w:w="1928"/>
            <w:vAlign w:val="center"/>
            <w:tcBorders>
              <w:top w:val="single" w:sz="4" w:space="0" w:color="B7B7B7"/>
              <w:left w:val="single" w:sz="4" w:space="0" w:color="B7B7B7"/>
              <w:bottom w:val="single" w:sz="4" w:space="0" w:color="B7B7B7"/>
              <w:right w:val="single" w:sz="4" w:space="0" w:color="B7B7B7"/>
            </w:tcBorders>
          </w:tcPr>
          <w:p>
            <w:pPr>
              <w:spacing w:after="0"/>
              <w:jc w:val="center"/>
            </w:pPr>
            <w:r>
              <w:rPr>
                <w:sz w:val="20"/>
              </w:rPr>
              <w:t>5</w:t>
            </w:r>
          </w:p>
        </w:tc>
        <w:tc>
          <w:tcPr>
            <w:tcW w:type="dxa" w:w="1928"/>
            <w:vAlign w:val="center"/>
            <w:tcBorders>
              <w:top w:val="single" w:sz="4" w:space="0" w:color="B7B7B7"/>
              <w:left w:val="single" w:sz="4" w:space="0" w:color="B7B7B7"/>
              <w:bottom w:val="single" w:sz="4" w:space="0" w:color="B7B7B7"/>
              <w:right w:val="single" w:sz="4" w:space="0" w:color="B7B7B7"/>
            </w:tcBorders>
          </w:tcPr>
          <w:p>
            <w:pPr>
              <w:spacing w:after="0"/>
              <w:jc w:val="center"/>
            </w:pPr>
            <w:r>
              <w:rPr>
                <w:sz w:val="20"/>
              </w:rPr>
              <w:t>100,0</w:t>
            </w:r>
          </w:p>
        </w:tc>
        <w:tc>
          <w:tcPr>
            <w:tcW w:type="dxa" w:w="2381"/>
            <w:vAlign w:val="center"/>
            <w:tcBorders>
              <w:top w:val="single" w:sz="4" w:space="0" w:color="B7B7B7"/>
              <w:left w:val="single" w:sz="4" w:space="0" w:color="B7B7B7"/>
              <w:bottom w:val="single" w:sz="4" w:space="0" w:color="B7B7B7"/>
              <w:right w:val="single" w:sz="4" w:space="0" w:color="B7B7B7"/>
            </w:tcBorders>
          </w:tcPr>
          <w:p>
            <w:pPr>
              <w:spacing w:after="0"/>
              <w:jc w:val="center"/>
            </w:pPr>
            <w:r>
              <w:rPr>
                <w:b/>
                <w:color w:val="1F4E79"/>
                <w:sz w:val="20"/>
              </w:rPr>
              <w:t>20</w:t>
            </w:r>
          </w:p>
        </w:tc>
      </w:tr>
      <w:tr>
        <w:trPr>
          <w:trHeight w:val="266"/>
        </w:trPr>
        <w:tc>
          <w:tcPr>
            <w:tcW w:type="dxa" w:w="907"/>
            <w:vAlign w:val="center"/>
            <w:tcBorders>
              <w:top w:val="single" w:sz="4" w:space="0" w:color="B7B7B7"/>
              <w:left w:val="single" w:sz="4" w:space="0" w:color="B7B7B7"/>
              <w:bottom w:val="single" w:sz="4" w:space="0" w:color="B7B7B7"/>
              <w:right w:val="single" w:sz="4" w:space="0" w:color="B7B7B7"/>
            </w:tcBorders>
          </w:tcPr>
          <w:p>
            <w:pPr>
              <w:spacing w:after="0"/>
              <w:jc w:val="center"/>
            </w:pPr>
            <w:r>
              <w:rPr>
                <w:color w:val="555555"/>
                <w:sz w:val="20"/>
              </w:rPr>
              <w:t>7</w:t>
            </w:r>
          </w:p>
        </w:tc>
        <w:tc>
          <w:tcPr>
            <w:tcW w:type="dxa" w:w="1928"/>
            <w:vAlign w:val="center"/>
            <w:tcBorders>
              <w:top w:val="single" w:sz="4" w:space="0" w:color="B7B7B7"/>
              <w:left w:val="single" w:sz="4" w:space="0" w:color="B7B7B7"/>
              <w:bottom w:val="single" w:sz="4" w:space="0" w:color="B7B7B7"/>
              <w:right w:val="single" w:sz="4" w:space="0" w:color="B7B7B7"/>
            </w:tcBorders>
          </w:tcPr>
          <w:p>
            <w:pPr>
              <w:spacing w:after="0"/>
              <w:jc w:val="center"/>
            </w:pPr>
            <w:r>
              <w:rPr>
                <w:sz w:val="20"/>
              </w:rPr>
              <w:t>6</w:t>
            </w:r>
          </w:p>
        </w:tc>
        <w:tc>
          <w:tcPr>
            <w:tcW w:type="dxa" w:w="1928"/>
            <w:vAlign w:val="center"/>
            <w:tcBorders>
              <w:top w:val="single" w:sz="4" w:space="0" w:color="B7B7B7"/>
              <w:left w:val="single" w:sz="4" w:space="0" w:color="B7B7B7"/>
              <w:bottom w:val="single" w:sz="4" w:space="0" w:color="B7B7B7"/>
              <w:right w:val="single" w:sz="4" w:space="0" w:color="B7B7B7"/>
            </w:tcBorders>
          </w:tcPr>
          <w:p>
            <w:pPr>
              <w:spacing w:after="0"/>
              <w:jc w:val="center"/>
            </w:pPr>
            <w:r>
              <w:rPr>
                <w:sz w:val="20"/>
              </w:rPr>
              <w:t>120,0</w:t>
            </w:r>
          </w:p>
        </w:tc>
        <w:tc>
          <w:tcPr>
            <w:tcW w:type="dxa" w:w="2381"/>
            <w:vAlign w:val="center"/>
            <w:tcBorders>
              <w:top w:val="single" w:sz="4" w:space="0" w:color="B7B7B7"/>
              <w:left w:val="single" w:sz="4" w:space="0" w:color="B7B7B7"/>
              <w:bottom w:val="single" w:sz="4" w:space="0" w:color="B7B7B7"/>
              <w:right w:val="single" w:sz="4" w:space="0" w:color="B7B7B7"/>
            </w:tcBorders>
          </w:tcPr>
          <w:p>
            <w:pPr>
              <w:spacing w:after="0"/>
              <w:jc w:val="center"/>
            </w:pPr>
            <w:r>
              <w:rPr>
                <w:b/>
                <w:color w:val="1F4E79"/>
                <w:sz w:val="20"/>
              </w:rPr>
              <w:t>20</w:t>
            </w:r>
          </w:p>
        </w:tc>
      </w:tr>
      <w:tr>
        <w:trPr>
          <w:trHeight w:val="266"/>
        </w:trPr>
        <w:tc>
          <w:tcPr>
            <w:tcW w:type="dxa" w:w="907"/>
            <w:vAlign w:val="center"/>
            <w:tcBorders>
              <w:top w:val="single" w:sz="4" w:space="0" w:color="B7B7B7"/>
              <w:left w:val="single" w:sz="4" w:space="0" w:color="B7B7B7"/>
              <w:bottom w:val="single" w:sz="4" w:space="0" w:color="B7B7B7"/>
              <w:right w:val="single" w:sz="4" w:space="0" w:color="B7B7B7"/>
            </w:tcBorders>
          </w:tcPr>
          <w:p>
            <w:pPr>
              <w:spacing w:after="0"/>
              <w:jc w:val="center"/>
            </w:pPr>
            <w:r>
              <w:rPr>
                <w:color w:val="555555"/>
                <w:sz w:val="20"/>
              </w:rPr>
              <w:t>8</w:t>
            </w:r>
          </w:p>
        </w:tc>
        <w:tc>
          <w:tcPr>
            <w:tcW w:type="dxa" w:w="1928"/>
            <w:vAlign w:val="center"/>
            <w:tcBorders>
              <w:top w:val="single" w:sz="4" w:space="0" w:color="B7B7B7"/>
              <w:left w:val="single" w:sz="4" w:space="0" w:color="B7B7B7"/>
              <w:bottom w:val="single" w:sz="4" w:space="0" w:color="B7B7B7"/>
              <w:right w:val="single" w:sz="4" w:space="0" w:color="B7B7B7"/>
            </w:tcBorders>
          </w:tcPr>
          <w:p>
            <w:pPr>
              <w:spacing w:after="0"/>
              <w:jc w:val="center"/>
            </w:pPr>
            <w:r>
              <w:rPr>
                <w:sz w:val="20"/>
              </w:rPr>
              <w:t>7</w:t>
            </w:r>
          </w:p>
        </w:tc>
        <w:tc>
          <w:tcPr>
            <w:tcW w:type="dxa" w:w="1928"/>
            <w:vAlign w:val="center"/>
            <w:tcBorders>
              <w:top w:val="single" w:sz="4" w:space="0" w:color="B7B7B7"/>
              <w:left w:val="single" w:sz="4" w:space="0" w:color="B7B7B7"/>
              <w:bottom w:val="single" w:sz="4" w:space="0" w:color="B7B7B7"/>
              <w:right w:val="single" w:sz="4" w:space="0" w:color="B7B7B7"/>
            </w:tcBorders>
          </w:tcPr>
          <w:p>
            <w:pPr>
              <w:spacing w:after="0"/>
              <w:jc w:val="center"/>
            </w:pPr>
            <w:r>
              <w:rPr>
                <w:sz w:val="20"/>
              </w:rPr>
              <w:t>140,0</w:t>
            </w:r>
          </w:p>
        </w:tc>
        <w:tc>
          <w:tcPr>
            <w:tcW w:type="dxa" w:w="2381"/>
            <w:vAlign w:val="center"/>
            <w:tcBorders>
              <w:top w:val="single" w:sz="4" w:space="0" w:color="B7B7B7"/>
              <w:left w:val="single" w:sz="4" w:space="0" w:color="B7B7B7"/>
              <w:bottom w:val="single" w:sz="4" w:space="0" w:color="B7B7B7"/>
              <w:right w:val="single" w:sz="4" w:space="0" w:color="B7B7B7"/>
            </w:tcBorders>
          </w:tcPr>
          <w:p>
            <w:pPr>
              <w:spacing w:after="0"/>
              <w:jc w:val="center"/>
            </w:pPr>
            <w:r>
              <w:rPr>
                <w:b/>
                <w:color w:val="1F4E79"/>
                <w:sz w:val="20"/>
              </w:rPr>
              <w:t>20</w:t>
            </w:r>
          </w:p>
        </w:tc>
      </w:tr>
      <w:tr>
        <w:trPr>
          <w:trHeight w:val="266"/>
        </w:trPr>
        <w:tc>
          <w:tcPr>
            <w:tcW w:type="dxa" w:w="907"/>
            <w:vAlign w:val="center"/>
            <w:tcBorders>
              <w:top w:val="single" w:sz="4" w:space="0" w:color="B7B7B7"/>
              <w:left w:val="single" w:sz="4" w:space="0" w:color="B7B7B7"/>
              <w:bottom w:val="single" w:sz="4" w:space="0" w:color="B7B7B7"/>
              <w:right w:val="single" w:sz="4" w:space="0" w:color="B7B7B7"/>
            </w:tcBorders>
          </w:tcPr>
          <w:p>
            <w:pPr>
              <w:spacing w:after="0"/>
              <w:jc w:val="center"/>
            </w:pPr>
            <w:r>
              <w:rPr>
                <w:color w:val="555555"/>
                <w:sz w:val="20"/>
              </w:rPr>
              <w:t>9</w:t>
            </w:r>
          </w:p>
        </w:tc>
        <w:tc>
          <w:tcPr>
            <w:tcW w:type="dxa" w:w="1928"/>
            <w:vAlign w:val="center"/>
            <w:tcBorders>
              <w:top w:val="single" w:sz="4" w:space="0" w:color="B7B7B7"/>
              <w:left w:val="single" w:sz="4" w:space="0" w:color="B7B7B7"/>
              <w:bottom w:val="single" w:sz="4" w:space="0" w:color="B7B7B7"/>
              <w:right w:val="single" w:sz="4" w:space="0" w:color="B7B7B7"/>
            </w:tcBorders>
          </w:tcPr>
          <w:p>
            <w:pPr>
              <w:spacing w:after="0"/>
              <w:jc w:val="center"/>
            </w:pPr>
            <w:r>
              <w:rPr>
                <w:sz w:val="20"/>
              </w:rPr>
              <w:t>8</w:t>
            </w:r>
          </w:p>
        </w:tc>
        <w:tc>
          <w:tcPr>
            <w:tcW w:type="dxa" w:w="1928"/>
            <w:vAlign w:val="center"/>
            <w:tcBorders>
              <w:top w:val="single" w:sz="4" w:space="0" w:color="B7B7B7"/>
              <w:left w:val="single" w:sz="4" w:space="0" w:color="B7B7B7"/>
              <w:bottom w:val="single" w:sz="4" w:space="0" w:color="B7B7B7"/>
              <w:right w:val="single" w:sz="4" w:space="0" w:color="B7B7B7"/>
            </w:tcBorders>
          </w:tcPr>
          <w:p>
            <w:pPr>
              <w:spacing w:after="0"/>
              <w:jc w:val="center"/>
            </w:pPr>
            <w:r>
              <w:rPr>
                <w:sz w:val="20"/>
              </w:rPr>
              <w:t>160,0</w:t>
            </w:r>
          </w:p>
        </w:tc>
        <w:tc>
          <w:tcPr>
            <w:tcW w:type="dxa" w:w="2381"/>
            <w:vAlign w:val="center"/>
            <w:tcBorders>
              <w:top w:val="single" w:sz="4" w:space="0" w:color="B7B7B7"/>
              <w:left w:val="single" w:sz="4" w:space="0" w:color="B7B7B7"/>
              <w:bottom w:val="single" w:sz="4" w:space="0" w:color="B7B7B7"/>
              <w:right w:val="single" w:sz="4" w:space="0" w:color="B7B7B7"/>
            </w:tcBorders>
          </w:tcPr>
          <w:p>
            <w:pPr>
              <w:spacing w:after="0"/>
              <w:jc w:val="center"/>
            </w:pPr>
            <w:r>
              <w:rPr>
                <w:b/>
                <w:color w:val="1F4E79"/>
                <w:sz w:val="20"/>
              </w:rPr>
              <w:t>20</w:t>
            </w:r>
          </w:p>
        </w:tc>
      </w:tr>
      <w:tr>
        <w:trPr>
          <w:trHeight w:val="266"/>
        </w:trPr>
        <w:tc>
          <w:tcPr>
            <w:tcW w:type="dxa" w:w="907"/>
            <w:vAlign w:val="center"/>
            <w:tcBorders>
              <w:top w:val="single" w:sz="4" w:space="0" w:color="B7B7B7"/>
              <w:left w:val="single" w:sz="4" w:space="0" w:color="B7B7B7"/>
              <w:bottom w:val="single" w:sz="4" w:space="0" w:color="B7B7B7"/>
              <w:right w:val="single" w:sz="4" w:space="0" w:color="B7B7B7"/>
            </w:tcBorders>
          </w:tcPr>
          <w:p>
            <w:pPr>
              <w:spacing w:after="0"/>
              <w:jc w:val="center"/>
            </w:pPr>
            <w:r>
              <w:rPr>
                <w:color w:val="555555"/>
                <w:sz w:val="20"/>
              </w:rPr>
              <w:t>10</w:t>
            </w:r>
          </w:p>
        </w:tc>
        <w:tc>
          <w:tcPr>
            <w:tcW w:type="dxa" w:w="1928"/>
            <w:vAlign w:val="center"/>
            <w:tcBorders>
              <w:top w:val="single" w:sz="4" w:space="0" w:color="B7B7B7"/>
              <w:left w:val="single" w:sz="4" w:space="0" w:color="B7B7B7"/>
              <w:bottom w:val="single" w:sz="4" w:space="0" w:color="B7B7B7"/>
              <w:right w:val="single" w:sz="4" w:space="0" w:color="B7B7B7"/>
            </w:tcBorders>
          </w:tcPr>
          <w:p>
            <w:pPr>
              <w:spacing w:after="0"/>
              <w:jc w:val="center"/>
            </w:pPr>
            <w:r>
              <w:rPr>
                <w:sz w:val="20"/>
              </w:rPr>
              <w:t>9</w:t>
            </w:r>
          </w:p>
        </w:tc>
        <w:tc>
          <w:tcPr>
            <w:tcW w:type="dxa" w:w="1928"/>
            <w:vAlign w:val="center"/>
            <w:tcBorders>
              <w:top w:val="single" w:sz="4" w:space="0" w:color="B7B7B7"/>
              <w:left w:val="single" w:sz="4" w:space="0" w:color="B7B7B7"/>
              <w:bottom w:val="single" w:sz="4" w:space="0" w:color="B7B7B7"/>
              <w:right w:val="single" w:sz="4" w:space="0" w:color="B7B7B7"/>
            </w:tcBorders>
          </w:tcPr>
          <w:p>
            <w:pPr>
              <w:spacing w:after="0"/>
              <w:jc w:val="center"/>
            </w:pPr>
            <w:r>
              <w:rPr>
                <w:sz w:val="20"/>
              </w:rPr>
              <w:t>180,0</w:t>
            </w:r>
          </w:p>
        </w:tc>
        <w:tc>
          <w:tcPr>
            <w:tcW w:type="dxa" w:w="2381"/>
            <w:vAlign w:val="center"/>
            <w:tcBorders>
              <w:top w:val="single" w:sz="4" w:space="0" w:color="B7B7B7"/>
              <w:left w:val="single" w:sz="4" w:space="0" w:color="B7B7B7"/>
              <w:bottom w:val="single" w:sz="4" w:space="0" w:color="B7B7B7"/>
              <w:right w:val="single" w:sz="4" w:space="0" w:color="B7B7B7"/>
            </w:tcBorders>
          </w:tcPr>
          <w:p>
            <w:pPr>
              <w:spacing w:after="0"/>
              <w:jc w:val="center"/>
            </w:pPr>
            <w:r>
              <w:rPr>
                <w:b/>
                <w:color w:val="1F4E79"/>
                <w:sz w:val="20"/>
              </w:rPr>
              <w:t>20</w:t>
            </w:r>
          </w:p>
        </w:tc>
      </w:tr>
      <w:tr>
        <w:trPr>
          <w:trHeight w:val="266"/>
        </w:trPr>
        <w:tc>
          <w:tcPr>
            <w:tcW w:type="dxa" w:w="907"/>
            <w:vAlign w:val="center"/>
            <w:tcBorders>
              <w:top w:val="single" w:sz="4" w:space="0" w:color="B7B7B7"/>
              <w:left w:val="single" w:sz="4" w:space="0" w:color="B7B7B7"/>
              <w:bottom w:val="single" w:sz="4" w:space="0" w:color="B7B7B7"/>
              <w:right w:val="single" w:sz="4" w:space="0" w:color="B7B7B7"/>
            </w:tcBorders>
          </w:tcPr>
          <w:p>
            <w:pPr>
              <w:spacing w:after="0"/>
              <w:jc w:val="center"/>
            </w:pPr>
            <w:r>
              <w:rPr>
                <w:color w:val="555555"/>
                <w:sz w:val="20"/>
              </w:rPr>
              <w:t>11</w:t>
            </w:r>
          </w:p>
        </w:tc>
        <w:tc>
          <w:tcPr>
            <w:tcW w:type="dxa" w:w="1928"/>
            <w:vAlign w:val="center"/>
            <w:tcBorders>
              <w:top w:val="single" w:sz="4" w:space="0" w:color="B7B7B7"/>
              <w:left w:val="single" w:sz="4" w:space="0" w:color="B7B7B7"/>
              <w:bottom w:val="single" w:sz="4" w:space="0" w:color="B7B7B7"/>
              <w:right w:val="single" w:sz="4" w:space="0" w:color="B7B7B7"/>
            </w:tcBorders>
          </w:tcPr>
          <w:p>
            <w:pPr>
              <w:spacing w:after="0"/>
              <w:jc w:val="center"/>
            </w:pPr>
            <w:r>
              <w:rPr>
                <w:sz w:val="20"/>
              </w:rPr>
              <w:t>10</w:t>
            </w:r>
          </w:p>
        </w:tc>
        <w:tc>
          <w:tcPr>
            <w:tcW w:type="dxa" w:w="1928"/>
            <w:vAlign w:val="center"/>
            <w:tcBorders>
              <w:top w:val="single" w:sz="4" w:space="0" w:color="B7B7B7"/>
              <w:left w:val="single" w:sz="4" w:space="0" w:color="B7B7B7"/>
              <w:bottom w:val="single" w:sz="4" w:space="0" w:color="B7B7B7"/>
              <w:right w:val="single" w:sz="4" w:space="0" w:color="B7B7B7"/>
            </w:tcBorders>
          </w:tcPr>
          <w:p>
            <w:pPr>
              <w:spacing w:after="0"/>
              <w:jc w:val="center"/>
            </w:pPr>
            <w:r>
              <w:rPr>
                <w:sz w:val="20"/>
              </w:rPr>
              <w:t>200,0</w:t>
            </w:r>
          </w:p>
        </w:tc>
        <w:tc>
          <w:tcPr>
            <w:tcW w:type="dxa" w:w="2381"/>
            <w:vAlign w:val="center"/>
            <w:tcBorders>
              <w:top w:val="single" w:sz="4" w:space="0" w:color="B7B7B7"/>
              <w:left w:val="single" w:sz="4" w:space="0" w:color="B7B7B7"/>
              <w:bottom w:val="single" w:sz="4" w:space="0" w:color="B7B7B7"/>
              <w:right w:val="single" w:sz="4" w:space="0" w:color="B7B7B7"/>
            </w:tcBorders>
          </w:tcPr>
          <w:p>
            <w:pPr>
              <w:spacing w:after="0"/>
              <w:jc w:val="center"/>
            </w:pPr>
            <w:r>
              <w:rPr>
                <w:b/>
                <w:color w:val="1F4E79"/>
                <w:sz w:val="20"/>
              </w:rPr>
              <w:t>20</w:t>
            </w:r>
          </w:p>
        </w:tc>
      </w:tr>
    </w:tbl>
    <w:p>
      <w:pPr>
        <w:spacing w:before="80" w:after="80"/>
      </w:pPr>
      <w:r>
        <w:rPr>
          <w:b w:val="0"/>
          <w:i/>
          <w:color w:val="555555"/>
          <w:sz w:val="19"/>
        </w:rPr>
        <w:t>Anzeige der Simulation: bis 80 µN zwei, ab 100 µN eine Nachkommastelle.</w:t>
      </w:r>
    </w:p>
    <w:p>
      <w:pPr>
        <w:spacing w:before="180" w:after="80"/>
        <w:pBdr>
          <w:bottom w:val="single" w:sz="6" w:space="0" w:color="763030"/>
        </w:pBdr>
      </w:pPr>
      <w:r>
        <w:rPr>
          <w:b/>
          <w:color w:val="763030"/>
          <w:sz w:val="24"/>
        </w:rPr>
        <w:t>4   Diagramm</w:t>
      </w:r>
    </w:p>
    <w:p>
      <w:pPr>
        <w:spacing w:after="60"/>
        <w:ind w:left="0"/>
      </w:pPr>
      <w:r>
        <w:rPr>
          <w:b w:val="0"/>
          <w:sz w:val="21"/>
        </w:rPr>
        <w:t>Alle Messpunkte liegen auf einer Geraden durch den Ursprung, von (0 | 0) bis (10 nC | 200 µN) – also genau die Diagonale des vorbereiteten Rasters.</w:t>
      </w:r>
    </w:p>
    <w:p>
      <w:pPr>
        <w:spacing w:after="60"/>
        <w:ind w:left="0"/>
      </w:pPr>
      <w:r>
        <w:rPr>
          <w:b w:val="0"/>
          <w:sz w:val="21"/>
        </w:rPr>
        <w:t>Typisches Steigungsdreieck: Δq = 10 nC,  ΔF = 200 µN.</w:t>
      </w:r>
    </w:p>
    <w:p>
      <w:pPr>
        <w:spacing w:before="180" w:after="80"/>
        <w:pBdr>
          <w:bottom w:val="single" w:sz="6" w:space="0" w:color="763030"/>
        </w:pBdr>
      </w:pPr>
      <w:r>
        <w:rPr>
          <w:b/>
          <w:color w:val="763030"/>
          <w:sz w:val="24"/>
        </w:rPr>
        <w:t>5   Auswertung</w:t>
      </w:r>
    </w:p>
    <w:p>
      <w:pPr>
        <w:spacing w:before="100" w:after="40"/>
        <w:ind w:left="482" w:hanging="482"/>
      </w:pPr>
      <w:r>
        <w:rPr>
          <w:b/>
          <w:sz w:val="20"/>
        </w:rPr>
        <w:t xml:space="preserve">1. </w:t>
      </w:r>
      <w:r>
        <w:rPr>
          <w:i/>
          <w:color w:val="555555"/>
          <w:sz w:val="20"/>
        </w:rPr>
        <w:t>Zusammenhang zwischen F und q, Auffälligkeit bei F/q</w:t>
      </w:r>
    </w:p>
    <w:p>
      <w:pPr>
        <w:spacing w:after="60"/>
        <w:ind w:left="482"/>
      </w:pPr>
      <w:r>
        <w:rPr>
          <w:b w:val="0"/>
          <w:sz w:val="21"/>
        </w:rPr>
        <w:t>F ist proportional zu q: doppelte Ladung → doppelte Kraft. Der Quotient F/q ist in allen Zeilen gleich, nämlich 20 µN/nC.</w:t>
      </w:r>
    </w:p>
    <w:p>
      <w:pPr>
        <w:spacing w:after="60"/>
        <w:ind w:left="482"/>
      </w:pPr>
      <w:r>
        <w:rPr>
          <w:b w:val="0"/>
          <w:sz w:val="21"/>
        </w:rPr>
        <w:t>Entscheidend: F/q hängt nicht davon ab, welche Probeladung man hineinhält. Der Quotient beschreibt also nicht die Probeladung, sondern das Feld selbst.</w:t>
      </w:r>
    </w:p>
    <w:p>
      <w:pPr>
        <w:spacing w:before="100" w:after="40"/>
        <w:ind w:left="482" w:hanging="482"/>
      </w:pPr>
      <w:r>
        <w:rPr>
          <w:b/>
          <w:sz w:val="20"/>
        </w:rPr>
        <w:t xml:space="preserve">2. </w:t>
      </w:r>
      <w:r>
        <w:rPr>
          <w:i/>
          <w:color w:val="555555"/>
          <w:sz w:val="20"/>
        </w:rPr>
        <w:t>Steigung aus dem Steigungsdreieck</w:t>
      </w:r>
    </w:p>
    <w:p>
      <w:pPr>
        <w:spacing w:after="60"/>
        <w:ind w:left="482"/>
      </w:pPr>
      <w:r>
        <w:rPr>
          <w:b/>
          <w:color w:val="1F4E79"/>
          <w:sz w:val="21"/>
        </w:rPr>
        <w:t>k = ΔF / Δq = 200 µN / 10 nC = 20 µN/nC</w:t>
      </w:r>
    </w:p>
    <w:p>
      <w:pPr>
        <w:spacing w:before="100" w:after="40"/>
        <w:ind w:left="482" w:hanging="482"/>
      </w:pPr>
      <w:r>
        <w:rPr>
          <w:b/>
          <w:sz w:val="20"/>
        </w:rPr>
        <w:t xml:space="preserve">3. </w:t>
      </w:r>
      <w:r>
        <w:rPr>
          <w:i/>
          <w:color w:val="555555"/>
          <w:sz w:val="20"/>
        </w:rPr>
        <w:t>Umrechnung der Einheit</w:t>
      </w:r>
    </w:p>
    <w:p>
      <w:pPr>
        <w:spacing w:after="60"/>
        <w:ind w:left="482"/>
      </w:pPr>
      <w:r>
        <w:rPr>
          <w:b w:val="0"/>
          <w:sz w:val="21"/>
        </w:rPr>
        <w:t>1 µN/nC = 10⁻⁶ N / 10⁻⁹ C = 10³ N/C</w:t>
      </w:r>
    </w:p>
    <w:p>
      <w:pPr>
        <w:spacing w:after="60"/>
        <w:ind w:left="482"/>
      </w:pPr>
      <w:r>
        <w:rPr>
          <w:b w:val="0"/>
          <w:sz w:val="21"/>
        </w:rPr>
        <w:t>Wegen 1 V = 1 J/C = 1 N·m/C folgt 1 V/m = 1 N/C, also  1 µN/nC = 10³ V/m.</w:t>
      </w:r>
    </w:p>
    <w:p>
      <w:pPr>
        <w:spacing w:after="60"/>
        <w:ind w:left="482"/>
      </w:pPr>
      <w:r>
        <w:rPr>
          <w:b/>
          <w:color w:val="1F4E79"/>
          <w:sz w:val="21"/>
        </w:rPr>
        <w:t>Damit: k = 20 µN/nC = 20 · 10³ V/m = 20 kV/m.</w:t>
      </w:r>
    </w:p>
    <w:p>
      <w:pPr>
        <w:spacing w:before="100" w:after="40"/>
        <w:ind w:left="482" w:hanging="482"/>
      </w:pPr>
      <w:r>
        <w:rPr>
          <w:b/>
          <w:sz w:val="20"/>
        </w:rPr>
        <w:t xml:space="preserve">4. </w:t>
      </w:r>
      <w:r>
        <w:rPr>
          <w:i/>
          <w:color w:val="555555"/>
          <w:sz w:val="20"/>
        </w:rPr>
        <w:t>Elektrische Feldstärke</w:t>
      </w:r>
    </w:p>
    <w:p>
      <w:pPr>
        <w:spacing w:after="60"/>
        <w:ind w:left="482"/>
      </w:pPr>
      <w:r>
        <w:rPr>
          <w:b/>
          <w:color w:val="1F4E79"/>
          <w:sz w:val="21"/>
        </w:rPr>
        <w:t>E = 20 000 V/m = 20 kV/m</w:t>
      </w:r>
    </w:p>
    <w:p>
      <w:pPr>
        <w:spacing w:before="100" w:after="40"/>
        <w:ind w:left="482" w:hanging="482"/>
      </w:pPr>
      <w:r>
        <w:rPr>
          <w:b/>
          <w:sz w:val="20"/>
        </w:rPr>
        <w:t xml:space="preserve">5. </w:t>
      </w:r>
      <w:r>
        <w:rPr>
          <w:i/>
          <w:color w:val="555555"/>
          <w:sz w:val="20"/>
        </w:rPr>
        <w:t>Kontrolle über E = U/d</w:t>
      </w:r>
    </w:p>
    <w:p>
      <w:pPr>
        <w:spacing w:after="60"/>
        <w:ind w:left="482"/>
      </w:pPr>
      <w:r>
        <w:rPr>
          <w:b/>
          <w:color w:val="1F4E79"/>
          <w:sz w:val="21"/>
        </w:rPr>
        <w:t>E = U / d = 2000 V / 0,10 m = 20 000 V/m – identisch mit dem Messergebnis.</w:t>
      </w:r>
    </w:p>
    <w:p>
      <w:pPr>
        <w:spacing w:before="100" w:after="40"/>
        <w:ind w:left="482" w:hanging="482"/>
      </w:pPr>
      <w:r>
        <w:rPr>
          <w:b/>
          <w:sz w:val="20"/>
        </w:rPr>
        <w:t xml:space="preserve">6. </w:t>
      </w:r>
      <w:r>
        <w:rPr>
          <w:i/>
          <w:color w:val="555555"/>
          <w:sz w:val="20"/>
        </w:rPr>
        <w:t>Vergleich mit dem angezeigten Wert</w:t>
      </w:r>
    </w:p>
    <w:p>
      <w:pPr>
        <w:spacing w:after="60"/>
        <w:ind w:left="482"/>
      </w:pPr>
      <w:r>
        <w:rPr>
          <w:b w:val="0"/>
          <w:sz w:val="21"/>
        </w:rPr>
        <w:t>Die Simulation zeigt nach dem Entfernen des Hakens 20,000 kV/m an. Messung, Rechnung und Anzeige stimmen überein.</w:t>
      </w:r>
    </w:p>
    <w:p>
      <w:r>
        <w:br w:type="page"/>
      </w:r>
    </w:p>
    <w:p>
      <w:pPr>
        <w:spacing w:before="180" w:after="80"/>
        <w:pBdr>
          <w:bottom w:val="single" w:sz="6" w:space="0" w:color="763030"/>
        </w:pBdr>
      </w:pPr>
      <w:r>
        <w:rPr>
          <w:b/>
          <w:color w:val="763030"/>
          <w:sz w:val="24"/>
        </w:rPr>
        <w:t>6   Zusatzaufgaben</w:t>
      </w:r>
    </w:p>
    <w:p>
      <w:pPr>
        <w:spacing w:before="100" w:after="40"/>
        <w:ind w:left="482" w:hanging="482"/>
      </w:pPr>
      <w:r>
        <w:rPr>
          <w:b/>
          <w:sz w:val="20"/>
        </w:rPr>
        <w:t xml:space="preserve">1. </w:t>
      </w:r>
      <w:r>
        <w:rPr>
          <w:i/>
          <w:color w:val="555555"/>
          <w:sz w:val="20"/>
        </w:rPr>
        <w:t>Negative Probeladung, z. B. q = −4 nC</w:t>
      </w:r>
    </w:p>
    <w:p>
      <w:pPr>
        <w:spacing w:after="60"/>
        <w:ind w:left="482"/>
      </w:pPr>
      <w:r>
        <w:rPr>
          <w:b w:val="0"/>
          <w:sz w:val="21"/>
        </w:rPr>
        <w:t>Der Betrag bleibt gleich groß wie bei +4 nC: |F| = 80,00 µN. Er hängt nur von |q| ab.</w:t>
      </w:r>
    </w:p>
    <w:p>
      <w:pPr>
        <w:spacing w:after="60"/>
        <w:ind w:left="482"/>
      </w:pPr>
      <w:r>
        <w:rPr>
          <w:b w:val="0"/>
          <w:sz w:val="21"/>
        </w:rPr>
        <w:t>Die Richtung kehrt sich um: Eine positive Probeladung wird zur negativen (unteren) Platte gezogen, eine negative zur positiven (oberen).</w:t>
      </w:r>
    </w:p>
    <w:p>
      <w:pPr>
        <w:spacing w:before="100" w:after="40"/>
        <w:ind w:left="482" w:hanging="482"/>
      </w:pPr>
      <w:r>
        <w:rPr>
          <w:b/>
          <w:sz w:val="20"/>
        </w:rPr>
        <w:t xml:space="preserve">2. </w:t>
      </w:r>
      <w:r>
        <w:rPr>
          <w:i/>
          <w:color w:val="555555"/>
          <w:sz w:val="20"/>
        </w:rPr>
        <w:t>Probeladung zwischen den Platten verschieben</w:t>
      </w:r>
    </w:p>
    <w:p>
      <w:pPr>
        <w:spacing w:after="60"/>
        <w:ind w:left="482"/>
      </w:pPr>
      <w:r>
        <w:rPr>
          <w:b w:val="0"/>
          <w:sz w:val="21"/>
        </w:rPr>
        <w:t>F bleibt unverändert – egal, wo sich die Ladung zwischen den Platten befindet.</w:t>
      </w:r>
    </w:p>
    <w:p>
      <w:pPr>
        <w:spacing w:after="60"/>
        <w:ind w:left="482"/>
      </w:pPr>
      <w:r>
        <w:rPr>
          <w:b w:val="0"/>
          <w:sz w:val="21"/>
        </w:rPr>
        <w:t>Das Feld ist dort homogen: überall gleiche Feldstärke und gleiche Richtung. Erkennbar auch an den parallelen, gleichmäßig verteilten Feldlinien.</w:t>
      </w:r>
    </w:p>
    <w:p>
      <w:pPr>
        <w:spacing w:after="60"/>
        <w:ind w:left="482"/>
      </w:pPr>
      <w:r>
        <w:rPr>
          <w:b w:val="0"/>
          <w:sz w:val="21"/>
        </w:rPr>
        <w:t>Außerhalb der Platten fällt die Kraft auf null – im idealen Plattenkondensator ist außen kein Feld.</w:t>
      </w:r>
    </w:p>
    <w:p>
      <w:pPr>
        <w:spacing w:before="100" w:after="40"/>
        <w:ind w:left="482" w:hanging="482"/>
      </w:pPr>
      <w:r>
        <w:rPr>
          <w:b/>
          <w:sz w:val="20"/>
        </w:rPr>
        <w:t xml:space="preserve">3. </w:t>
      </w:r>
      <w:r>
        <w:rPr>
          <w:i/>
          <w:color w:val="555555"/>
          <w:sz w:val="20"/>
        </w:rPr>
        <w:t>Vorhersage: Plattenabstand d halbieren, U unverändert</w:t>
      </w:r>
    </w:p>
    <w:p>
      <w:pPr>
        <w:spacing w:after="60"/>
        <w:ind w:left="482"/>
      </w:pPr>
      <w:r>
        <w:rPr>
          <w:b w:val="0"/>
          <w:sz w:val="21"/>
        </w:rPr>
        <w:t>E = U/d verdoppelt sich, also verdoppelt sich auch F.</w:t>
      </w:r>
    </w:p>
    <w:p>
      <w:pPr>
        <w:spacing w:after="60"/>
        <w:ind w:left="482"/>
      </w:pPr>
      <w:r>
        <w:rPr>
          <w:b/>
          <w:color w:val="1F4E79"/>
          <w:sz w:val="21"/>
        </w:rPr>
        <w:t>Prüfung bei q = 2 nC:  d = 10 cm → F = 40,00 µN,   d = 5 cm → F = 80,00 µN.</w:t>
      </w:r>
    </w:p>
    <w:p>
      <w:pPr>
        <w:spacing w:before="100" w:after="40"/>
        <w:ind w:left="482" w:hanging="482"/>
      </w:pPr>
      <w:r>
        <w:rPr>
          <w:b/>
          <w:sz w:val="20"/>
        </w:rPr>
        <w:t xml:space="preserve">4. </w:t>
      </w:r>
      <w:r>
        <w:rPr>
          <w:i/>
          <w:color w:val="555555"/>
          <w:sz w:val="20"/>
        </w:rPr>
        <w:t>Vorhersage: Plattenfläche A verdoppeln</w:t>
      </w:r>
    </w:p>
    <w:p>
      <w:pPr>
        <w:spacing w:after="60"/>
        <w:ind w:left="482"/>
      </w:pPr>
      <w:r>
        <w:rPr>
          <w:b/>
          <w:color w:val="1F4E79"/>
          <w:sz w:val="21"/>
        </w:rPr>
        <w:t>F ändert sich nicht. In E = U/d kommt die Fläche nicht vor.</w:t>
      </w:r>
    </w:p>
    <w:p>
      <w:pPr>
        <w:spacing w:after="60"/>
        <w:ind w:left="482"/>
      </w:pPr>
      <w:r>
        <w:rPr>
          <w:b w:val="0"/>
          <w:sz w:val="21"/>
        </w:rPr>
        <w:t>Was sich sehr wohl ändert: Die Ladung auf den Platten verdoppelt sich von 8,85 nC auf 17,71 nC, ebenso die Kapazität C = ε₀A/d von 4,43 pF auf 8,85 pF. Die Flächenladungsdichte σ = ε₀E bleibt dagegen gleich (177,1 nC/m²).</w:t>
      </w:r>
    </w:p>
    <w:p>
      <w:pPr>
        <w:spacing w:after="60"/>
        <w:ind w:left="482"/>
      </w:pPr>
      <w:r>
        <w:rPr>
          <w:b w:val="0"/>
          <w:sz w:val="21"/>
        </w:rPr>
        <w:t>Das ist ein guter Anlass für die Rückfrage: Wäre statt der Spannung die Ladung Q fest vorgegeben, wäre es genau umgekehrt – dann hinge E von A ab (E = Q/(ε₀A)), nicht aber vom Abstand.</w:t>
      </w:r>
    </w:p>
    <w:p>
      <w:pPr>
        <w:spacing w:before="180" w:after="80"/>
        <w:pBdr>
          <w:bottom w:val="single" w:sz="6" w:space="0" w:color="763030"/>
        </w:pBdr>
      </w:pPr>
      <w:r>
        <w:rPr>
          <w:b/>
          <w:color w:val="763030"/>
          <w:sz w:val="24"/>
        </w:rPr>
        <w:t xml:space="preserve">   Hinweise für die Lehrkraft</w:t>
      </w:r>
    </w:p>
    <w:p>
      <w:pPr>
        <w:spacing w:after="80"/>
        <w:ind w:left="425" w:hanging="425"/>
      </w:pPr>
      <w:r>
        <w:rPr>
          <w:sz w:val="21"/>
        </w:rPr>
        <w:t xml:space="preserve">•  </w:t>
      </w:r>
      <w:r>
        <w:rPr>
          <w:sz w:val="21"/>
        </w:rPr>
        <w:t>Kern der Stunde ist die dritte Tabellenspalte. Dass F/q konstant ist, ist die eigentliche Entdeckung – erst dadurch ist E eine Eigenschaft des Feldes und nicht der Probeladung.</w:t>
      </w:r>
    </w:p>
    <w:p>
      <w:pPr>
        <w:spacing w:after="80"/>
        <w:ind w:left="425" w:hanging="425"/>
      </w:pPr>
      <w:r>
        <w:rPr>
          <w:sz w:val="21"/>
        </w:rPr>
        <w:t xml:space="preserve">•  </w:t>
      </w:r>
      <w:r>
        <w:rPr>
          <w:sz w:val="21"/>
        </w:rPr>
        <w:t>Häufiger Fehler: Die Steigung wird aus einem einzelnen Messpunkt statt aus einem Steigungsdreieck bestimmt. Das liefert hier zufällig das richtige Ergebnis, weil die Gerade durch den Ursprung geht – bei einem Achsenabschnitt wäre es falsch. Lohnt sich zu thematisieren.</w:t>
      </w:r>
    </w:p>
    <w:p>
      <w:pPr>
        <w:spacing w:after="80"/>
        <w:ind w:left="425" w:hanging="425"/>
      </w:pPr>
      <w:r>
        <w:rPr>
          <w:sz w:val="21"/>
        </w:rPr>
        <w:t xml:space="preserve">•  </w:t>
      </w:r>
      <w:r>
        <w:rPr>
          <w:sz w:val="21"/>
        </w:rPr>
        <w:t>Häufiger Fehler: Die Einheit µN/nC wird nicht umgerechnet, das Ergebnis lautet dann „20" ohne sinnvolle Einheit. Aufgabe 3 fängt das gezielt ab.</w:t>
      </w:r>
    </w:p>
    <w:p>
      <w:pPr>
        <w:spacing w:after="80"/>
        <w:ind w:left="425" w:hanging="425"/>
      </w:pPr>
      <w:r>
        <w:rPr>
          <w:sz w:val="21"/>
        </w:rPr>
        <w:t xml:space="preserve">•  </w:t>
      </w:r>
      <w:r>
        <w:rPr>
          <w:sz w:val="21"/>
        </w:rPr>
        <w:t>Der Haken „Feldstärke E ausblenden" ist beim Start der Simulation bereits gesetzt. Er ist eine Sichtblende, keine Sperre: U und d stehen an den Reglern, E = U/d lässt sich also auch direkt ausrechnen. Wer schnell fertig ist, kann genau das als Kontrolle nutzen (Aufgabe 5).</w:t>
      </w:r>
    </w:p>
    <w:p>
      <w:pPr>
        <w:spacing w:after="80"/>
        <w:ind w:left="425" w:hanging="425"/>
      </w:pPr>
      <w:r>
        <w:rPr>
          <w:sz w:val="21"/>
        </w:rPr>
        <w:t xml:space="preserve">•  </w:t>
      </w:r>
      <w:r>
        <w:rPr>
          <w:sz w:val="21"/>
        </w:rPr>
        <w:t>Zeitbedarf: etwa 20 Minuten für Messreihe und Diagramm, 20 Minuten für die Auswertung. Die Zusatzaufgaben eignen sich zur Differenzierung oder als Hausaufgabe.</w:t>
      </w:r>
    </w:p>
    <w:p>
      <w:pPr>
        <w:spacing w:after="80"/>
        <w:ind w:left="425" w:hanging="425"/>
      </w:pPr>
      <w:r>
        <w:rPr>
          <w:sz w:val="21"/>
        </w:rPr>
        <w:t xml:space="preserve">•  </w:t>
      </w:r>
      <w:r>
        <w:rPr>
          <w:sz w:val="21"/>
        </w:rPr>
        <w:t>Die Simulation kann die Messreihe mit „Serie aufnehmen" auch selbst erzeugen und im eingebauten Diagramm eine Ursprungsgerade einpassen. Das eignet sich gut zur gemeinsamen Kontrolle an der Tafel, nachdem von Hand gezeichnet wurde.</w:t>
      </w:r>
    </w:p>
    <w:tbl>
      <w:tblPr>
        <w:tblW w:type="auto" w:w="0"/>
        <w:jc w:val="left"/>
        <w:tblLook w:firstColumn="1" w:firstRow="1" w:lastColumn="0" w:lastRow="0" w:noHBand="0" w:noVBand="1" w:val="04A0"/>
      </w:tblPr>
      <w:tblGrid>
        <w:gridCol w:w="9638"/>
      </w:tblGrid>
      <w:tr>
        <w:tc>
          <w:tcPr>
            <w:tcW w:type="dxa" w:w="9638"/>
            <w:tcBorders>
              <w:top w:val="single" w:sz="8" w:space="0" w:color="1F4E79"/>
              <w:left w:val="single" w:sz="18" w:space="0" w:color="1F4E79"/>
              <w:bottom w:val="single" w:sz="8" w:space="0" w:color="1F4E79"/>
              <w:right w:val="single" w:sz="8" w:space="0" w:color="1F4E79"/>
            </w:tcBorders>
            <w:shd w:val="clear" w:color="auto" w:fill="EAF1F8"/>
          </w:tcPr>
          <w:p>
            <w:pPr>
              <w:spacing w:after="40"/>
            </w:pPr>
            <w:r>
              <w:rPr>
                <w:b/>
                <w:sz w:val="22"/>
              </w:rPr>
              <w:t>Zum Merken</w:t>
            </w:r>
          </w:p>
          <w:p>
            <w:pPr>
              <w:spacing w:after="40"/>
            </w:pPr>
            <w:r>
              <w:rPr>
                <w:b/>
                <w:sz w:val="26"/>
              </w:rPr>
              <w:t>E = F / q</w:t>
            </w:r>
          </w:p>
          <w:p>
            <w:pPr>
              <w:spacing w:after="40"/>
            </w:pPr>
            <w:r>
              <w:rPr>
                <w:b w:val="0"/>
                <w:sz w:val="21"/>
              </w:rPr>
              <w:t>Die elektrische Feldstärke beschreibt das Feld selbst und hängt nicht von der Probeladung ab. Einheit: 1 N/C = 1 V/m.</w:t>
            </w:r>
          </w:p>
        </w:tc>
      </w:tr>
    </w:tbl>
    <w:p>
      <w:r>
        <w:br w:type="page"/>
      </w:r>
    </w:p>
    <w:p>
      <w:pPr>
        <w:spacing w:before="180" w:after="80"/>
        <w:pBdr>
          <w:bottom w:val="single" w:sz="6" w:space="0" w:color="763030"/>
        </w:pBdr>
      </w:pPr>
      <w:r>
        <w:rPr>
          <w:b/>
          <w:color w:val="763030"/>
          <w:sz w:val="24"/>
        </w:rPr>
        <w:t>7   Messunsicherheit – reale Messwerte</w:t>
      </w:r>
    </w:p>
    <w:tbl>
      <w:tblPr>
        <w:tblW w:type="auto" w:w="0"/>
        <w:jc w:val="left"/>
        <w:tblLook w:firstColumn="1" w:firstRow="1" w:lastColumn="0" w:lastRow="0" w:noHBand="0" w:noVBand="1" w:val="04A0"/>
      </w:tblPr>
      <w:tblGrid>
        <w:gridCol w:w="9638"/>
      </w:tblGrid>
      <w:tr>
        <w:tc>
          <w:tcPr>
            <w:tcW w:type="dxa" w:w="9638"/>
            <w:tcBorders>
              <w:top w:val="single" w:sz="8" w:space="0" w:color="763030"/>
              <w:left w:val="single" w:sz="18" w:space="0" w:color="763030"/>
              <w:bottom w:val="single" w:sz="8" w:space="0" w:color="763030"/>
              <w:right w:val="single" w:sz="8" w:space="0" w:color="763030"/>
            </w:tcBorders>
            <w:shd w:val="clear" w:color="auto" w:fill="F5EAEA"/>
          </w:tcPr>
          <w:p>
            <w:pPr>
              <w:spacing w:after="40"/>
            </w:pPr>
            <w:r>
              <w:rPr>
                <w:b/>
                <w:sz w:val="22"/>
              </w:rPr>
              <w:t>Die Werte sind reproduzierbar</w:t>
            </w:r>
          </w:p>
          <w:p>
            <w:pPr>
              <w:spacing w:after="40"/>
            </w:pPr>
            <w:r>
              <w:rPr>
                <w:b w:val="0"/>
                <w:sz w:val="21"/>
              </w:rPr>
              <w:t>Der Messfehler wird in der Simulation aus der Einstellung berechnet, nicht neu gewürfelt. Bei U = 2000 V, d = 10,0 cm und A = 500 cm² erhalten deshalb alle Lernenden genau die unten stehenden Werte.</w:t>
            </w:r>
          </w:p>
        </w:tc>
      </w:tr>
    </w:tbl>
    <w:tbl>
      <w:tblPr>
        <w:tblW w:type="auto" w:w="0"/>
        <w:jc w:val="left"/>
        <w:tblLayout w:type="fixed"/>
        <w:tblLook w:firstColumn="1" w:firstRow="1" w:lastColumn="0" w:lastRow="0" w:noHBand="0" w:noVBand="1" w:val="04A0"/>
      </w:tblPr>
      <w:tblGrid>
        <w:gridCol w:w="3213"/>
        <w:gridCol w:w="3213"/>
        <w:gridCol w:w="3213"/>
      </w:tblGrid>
      <w:tr>
        <w:tc>
          <w:tcPr>
            <w:tcW w:type="dxa" w:w="2041"/>
            <w:shd w:val="clear" w:color="auto" w:fill="EFE0E0"/>
            <w:tcBorders>
              <w:top w:val="single" w:sz="8" w:space="0" w:color="763030"/>
              <w:left w:val="single" w:sz="4" w:space="0" w:color="C09090"/>
              <w:bottom w:val="single" w:sz="8" w:space="0" w:color="763030"/>
              <w:right w:val="single" w:sz="4" w:space="0" w:color="C09090"/>
            </w:tcBorders>
          </w:tcPr>
          <w:p>
            <w:pPr>
              <w:spacing w:before="40" w:after="40"/>
              <w:jc w:val="center"/>
            </w:pPr>
            <w:r>
              <w:rPr>
                <w:b/>
                <w:sz w:val="20"/>
              </w:rPr>
              <w:t>q in nC</w:t>
            </w:r>
          </w:p>
        </w:tc>
        <w:tc>
          <w:tcPr>
            <w:tcW w:type="dxa" w:w="2041"/>
            <w:shd w:val="clear" w:color="auto" w:fill="EFE0E0"/>
            <w:tcBorders>
              <w:top w:val="single" w:sz="8" w:space="0" w:color="763030"/>
              <w:left w:val="single" w:sz="4" w:space="0" w:color="C09090"/>
              <w:bottom w:val="single" w:sz="8" w:space="0" w:color="763030"/>
              <w:right w:val="single" w:sz="4" w:space="0" w:color="C09090"/>
            </w:tcBorders>
          </w:tcPr>
          <w:p>
            <w:pPr>
              <w:spacing w:before="40" w:after="40"/>
              <w:jc w:val="center"/>
            </w:pPr>
            <w:r>
              <w:rPr>
                <w:b/>
                <w:sz w:val="20"/>
              </w:rPr>
              <w:t>F in µN</w:t>
            </w:r>
          </w:p>
        </w:tc>
        <w:tc>
          <w:tcPr>
            <w:tcW w:type="dxa" w:w="2494"/>
            <w:shd w:val="clear" w:color="auto" w:fill="EFE0E0"/>
            <w:tcBorders>
              <w:top w:val="single" w:sz="8" w:space="0" w:color="763030"/>
              <w:left w:val="single" w:sz="4" w:space="0" w:color="C09090"/>
              <w:bottom w:val="single" w:sz="8" w:space="0" w:color="763030"/>
              <w:right w:val="single" w:sz="4" w:space="0" w:color="C09090"/>
            </w:tcBorders>
          </w:tcPr>
          <w:p>
            <w:pPr>
              <w:spacing w:before="40" w:after="40"/>
              <w:jc w:val="center"/>
            </w:pPr>
            <w:r>
              <w:rPr>
                <w:b/>
                <w:sz w:val="20"/>
              </w:rPr>
              <w:t>F / q in µN/nC</w:t>
            </w:r>
          </w:p>
        </w:tc>
      </w:tr>
      <w:tr>
        <w:trPr>
          <w:trHeight w:val="295"/>
        </w:trPr>
        <w:tc>
          <w:tcPr>
            <w:tcW w:type="dxa" w:w="2041"/>
            <w:vAlign w:val="center"/>
            <w:tcBorders>
              <w:top w:val="single" w:sz="4" w:space="0" w:color="B7B7B7"/>
              <w:left w:val="single" w:sz="4" w:space="0" w:color="B7B7B7"/>
              <w:bottom w:val="single" w:sz="4" w:space="0" w:color="B7B7B7"/>
              <w:right w:val="single" w:sz="4" w:space="0" w:color="B7B7B7"/>
            </w:tcBorders>
          </w:tcPr>
          <w:p>
            <w:pPr>
              <w:spacing w:after="0"/>
              <w:jc w:val="center"/>
            </w:pPr>
            <w:r>
              <w:rPr>
                <w:sz w:val="20"/>
              </w:rPr>
              <w:t>0</w:t>
            </w:r>
          </w:p>
        </w:tc>
        <w:tc>
          <w:tcPr>
            <w:tcW w:type="dxa" w:w="2041"/>
            <w:vAlign w:val="center"/>
            <w:tcBorders>
              <w:top w:val="single" w:sz="4" w:space="0" w:color="B7B7B7"/>
              <w:left w:val="single" w:sz="4" w:space="0" w:color="B7B7B7"/>
              <w:bottom w:val="single" w:sz="4" w:space="0" w:color="B7B7B7"/>
              <w:right w:val="single" w:sz="4" w:space="0" w:color="B7B7B7"/>
            </w:tcBorders>
          </w:tcPr>
          <w:p>
            <w:pPr>
              <w:spacing w:after="0"/>
              <w:jc w:val="center"/>
            </w:pPr>
            <w:r>
              <w:rPr>
                <w:sz w:val="20"/>
              </w:rPr>
              <w:t>0,45</w:t>
            </w:r>
          </w:p>
        </w:tc>
        <w:tc>
          <w:tcPr>
            <w:tcW w:type="dxa" w:w="2494"/>
            <w:vAlign w:val="center"/>
            <w:tcBorders>
              <w:top w:val="single" w:sz="4" w:space="0" w:color="B7B7B7"/>
              <w:left w:val="single" w:sz="4" w:space="0" w:color="B7B7B7"/>
              <w:bottom w:val="single" w:sz="4" w:space="0" w:color="B7B7B7"/>
              <w:right w:val="single" w:sz="4" w:space="0" w:color="B7B7B7"/>
            </w:tcBorders>
          </w:tcPr>
          <w:p>
            <w:pPr>
              <w:spacing w:after="0"/>
              <w:jc w:val="center"/>
            </w:pPr>
            <w:r>
              <w:rPr>
                <w:sz w:val="20"/>
              </w:rPr>
              <w:t>—</w:t>
            </w:r>
          </w:p>
        </w:tc>
      </w:tr>
      <w:tr>
        <w:trPr>
          <w:trHeight w:val="295"/>
        </w:trPr>
        <w:tc>
          <w:tcPr>
            <w:tcW w:type="dxa" w:w="2041"/>
            <w:vAlign w:val="center"/>
            <w:tcBorders>
              <w:top w:val="single" w:sz="4" w:space="0" w:color="B7B7B7"/>
              <w:left w:val="single" w:sz="4" w:space="0" w:color="B7B7B7"/>
              <w:bottom w:val="single" w:sz="4" w:space="0" w:color="B7B7B7"/>
              <w:right w:val="single" w:sz="4" w:space="0" w:color="B7B7B7"/>
            </w:tcBorders>
          </w:tcPr>
          <w:p>
            <w:pPr>
              <w:spacing w:after="0"/>
              <w:jc w:val="center"/>
            </w:pPr>
            <w:r>
              <w:rPr>
                <w:sz w:val="20"/>
              </w:rPr>
              <w:t>2</w:t>
            </w:r>
          </w:p>
        </w:tc>
        <w:tc>
          <w:tcPr>
            <w:tcW w:type="dxa" w:w="2041"/>
            <w:vAlign w:val="center"/>
            <w:tcBorders>
              <w:top w:val="single" w:sz="4" w:space="0" w:color="B7B7B7"/>
              <w:left w:val="single" w:sz="4" w:space="0" w:color="B7B7B7"/>
              <w:bottom w:val="single" w:sz="4" w:space="0" w:color="B7B7B7"/>
              <w:right w:val="single" w:sz="4" w:space="0" w:color="B7B7B7"/>
            </w:tcBorders>
          </w:tcPr>
          <w:p>
            <w:pPr>
              <w:spacing w:after="0"/>
              <w:jc w:val="center"/>
            </w:pPr>
            <w:r>
              <w:rPr>
                <w:sz w:val="20"/>
              </w:rPr>
              <w:t>39,90</w:t>
            </w:r>
          </w:p>
        </w:tc>
        <w:tc>
          <w:tcPr>
            <w:tcW w:type="dxa" w:w="2494"/>
            <w:vAlign w:val="center"/>
            <w:tcBorders>
              <w:top w:val="single" w:sz="4" w:space="0" w:color="B7B7B7"/>
              <w:left w:val="single" w:sz="4" w:space="0" w:color="B7B7B7"/>
              <w:bottom w:val="single" w:sz="4" w:space="0" w:color="B7B7B7"/>
              <w:right w:val="single" w:sz="4" w:space="0" w:color="B7B7B7"/>
            </w:tcBorders>
          </w:tcPr>
          <w:p>
            <w:pPr>
              <w:spacing w:after="0"/>
              <w:jc w:val="center"/>
            </w:pPr>
            <w:r>
              <w:rPr>
                <w:b/>
                <w:color w:val="1F4E79"/>
                <w:sz w:val="20"/>
              </w:rPr>
              <w:t>19,95</w:t>
            </w:r>
          </w:p>
        </w:tc>
      </w:tr>
      <w:tr>
        <w:trPr>
          <w:trHeight w:val="295"/>
        </w:trPr>
        <w:tc>
          <w:tcPr>
            <w:tcW w:type="dxa" w:w="2041"/>
            <w:vAlign w:val="center"/>
            <w:tcBorders>
              <w:top w:val="single" w:sz="4" w:space="0" w:color="B7B7B7"/>
              <w:left w:val="single" w:sz="4" w:space="0" w:color="B7B7B7"/>
              <w:bottom w:val="single" w:sz="4" w:space="0" w:color="B7B7B7"/>
              <w:right w:val="single" w:sz="4" w:space="0" w:color="B7B7B7"/>
            </w:tcBorders>
          </w:tcPr>
          <w:p>
            <w:pPr>
              <w:spacing w:after="0"/>
              <w:jc w:val="center"/>
            </w:pPr>
            <w:r>
              <w:rPr>
                <w:sz w:val="20"/>
              </w:rPr>
              <w:t>4</w:t>
            </w:r>
          </w:p>
        </w:tc>
        <w:tc>
          <w:tcPr>
            <w:tcW w:type="dxa" w:w="2041"/>
            <w:vAlign w:val="center"/>
            <w:tcBorders>
              <w:top w:val="single" w:sz="4" w:space="0" w:color="B7B7B7"/>
              <w:left w:val="single" w:sz="4" w:space="0" w:color="B7B7B7"/>
              <w:bottom w:val="single" w:sz="4" w:space="0" w:color="B7B7B7"/>
              <w:right w:val="single" w:sz="4" w:space="0" w:color="B7B7B7"/>
            </w:tcBorders>
          </w:tcPr>
          <w:p>
            <w:pPr>
              <w:spacing w:after="0"/>
              <w:jc w:val="center"/>
            </w:pPr>
            <w:r>
              <w:rPr>
                <w:sz w:val="20"/>
              </w:rPr>
              <w:t>81,63</w:t>
            </w:r>
          </w:p>
        </w:tc>
        <w:tc>
          <w:tcPr>
            <w:tcW w:type="dxa" w:w="2494"/>
            <w:vAlign w:val="center"/>
            <w:tcBorders>
              <w:top w:val="single" w:sz="4" w:space="0" w:color="B7B7B7"/>
              <w:left w:val="single" w:sz="4" w:space="0" w:color="B7B7B7"/>
              <w:bottom w:val="single" w:sz="4" w:space="0" w:color="B7B7B7"/>
              <w:right w:val="single" w:sz="4" w:space="0" w:color="B7B7B7"/>
            </w:tcBorders>
          </w:tcPr>
          <w:p>
            <w:pPr>
              <w:spacing w:after="0"/>
              <w:jc w:val="center"/>
            </w:pPr>
            <w:r>
              <w:rPr>
                <w:b/>
                <w:color w:val="1F4E79"/>
                <w:sz w:val="20"/>
              </w:rPr>
              <w:t>20,41</w:t>
            </w:r>
          </w:p>
        </w:tc>
      </w:tr>
      <w:tr>
        <w:trPr>
          <w:trHeight w:val="295"/>
        </w:trPr>
        <w:tc>
          <w:tcPr>
            <w:tcW w:type="dxa" w:w="2041"/>
            <w:vAlign w:val="center"/>
            <w:tcBorders>
              <w:top w:val="single" w:sz="4" w:space="0" w:color="B7B7B7"/>
              <w:left w:val="single" w:sz="4" w:space="0" w:color="B7B7B7"/>
              <w:bottom w:val="single" w:sz="4" w:space="0" w:color="B7B7B7"/>
              <w:right w:val="single" w:sz="4" w:space="0" w:color="B7B7B7"/>
            </w:tcBorders>
          </w:tcPr>
          <w:p>
            <w:pPr>
              <w:spacing w:after="0"/>
              <w:jc w:val="center"/>
            </w:pPr>
            <w:r>
              <w:rPr>
                <w:sz w:val="20"/>
              </w:rPr>
              <w:t>6</w:t>
            </w:r>
          </w:p>
        </w:tc>
        <w:tc>
          <w:tcPr>
            <w:tcW w:type="dxa" w:w="2041"/>
            <w:vAlign w:val="center"/>
            <w:tcBorders>
              <w:top w:val="single" w:sz="4" w:space="0" w:color="B7B7B7"/>
              <w:left w:val="single" w:sz="4" w:space="0" w:color="B7B7B7"/>
              <w:bottom w:val="single" w:sz="4" w:space="0" w:color="B7B7B7"/>
              <w:right w:val="single" w:sz="4" w:space="0" w:color="B7B7B7"/>
            </w:tcBorders>
          </w:tcPr>
          <w:p>
            <w:pPr>
              <w:spacing w:after="0"/>
              <w:jc w:val="center"/>
            </w:pPr>
            <w:r>
              <w:rPr>
                <w:sz w:val="20"/>
              </w:rPr>
              <w:t>122,4</w:t>
            </w:r>
          </w:p>
        </w:tc>
        <w:tc>
          <w:tcPr>
            <w:tcW w:type="dxa" w:w="2494"/>
            <w:vAlign w:val="center"/>
            <w:tcBorders>
              <w:top w:val="single" w:sz="4" w:space="0" w:color="B7B7B7"/>
              <w:left w:val="single" w:sz="4" w:space="0" w:color="B7B7B7"/>
              <w:bottom w:val="single" w:sz="4" w:space="0" w:color="B7B7B7"/>
              <w:right w:val="single" w:sz="4" w:space="0" w:color="B7B7B7"/>
            </w:tcBorders>
          </w:tcPr>
          <w:p>
            <w:pPr>
              <w:spacing w:after="0"/>
              <w:jc w:val="center"/>
            </w:pPr>
            <w:r>
              <w:rPr>
                <w:b/>
                <w:color w:val="1F4E79"/>
                <w:sz w:val="20"/>
              </w:rPr>
              <w:t>20,40</w:t>
            </w:r>
          </w:p>
        </w:tc>
      </w:tr>
      <w:tr>
        <w:trPr>
          <w:trHeight w:val="295"/>
        </w:trPr>
        <w:tc>
          <w:tcPr>
            <w:tcW w:type="dxa" w:w="2041"/>
            <w:vAlign w:val="center"/>
            <w:tcBorders>
              <w:top w:val="single" w:sz="4" w:space="0" w:color="B7B7B7"/>
              <w:left w:val="single" w:sz="4" w:space="0" w:color="B7B7B7"/>
              <w:bottom w:val="single" w:sz="4" w:space="0" w:color="B7B7B7"/>
              <w:right w:val="single" w:sz="4" w:space="0" w:color="B7B7B7"/>
            </w:tcBorders>
          </w:tcPr>
          <w:p>
            <w:pPr>
              <w:spacing w:after="0"/>
              <w:jc w:val="center"/>
            </w:pPr>
            <w:r>
              <w:rPr>
                <w:sz w:val="20"/>
              </w:rPr>
              <w:t>8</w:t>
            </w:r>
          </w:p>
        </w:tc>
        <w:tc>
          <w:tcPr>
            <w:tcW w:type="dxa" w:w="2041"/>
            <w:vAlign w:val="center"/>
            <w:tcBorders>
              <w:top w:val="single" w:sz="4" w:space="0" w:color="B7B7B7"/>
              <w:left w:val="single" w:sz="4" w:space="0" w:color="B7B7B7"/>
              <w:bottom w:val="single" w:sz="4" w:space="0" w:color="B7B7B7"/>
              <w:right w:val="single" w:sz="4" w:space="0" w:color="B7B7B7"/>
            </w:tcBorders>
          </w:tcPr>
          <w:p>
            <w:pPr>
              <w:spacing w:after="0"/>
              <w:jc w:val="center"/>
            </w:pPr>
            <w:r>
              <w:rPr>
                <w:sz w:val="20"/>
              </w:rPr>
              <w:t>165,9</w:t>
            </w:r>
          </w:p>
        </w:tc>
        <w:tc>
          <w:tcPr>
            <w:tcW w:type="dxa" w:w="2494"/>
            <w:vAlign w:val="center"/>
            <w:tcBorders>
              <w:top w:val="single" w:sz="4" w:space="0" w:color="B7B7B7"/>
              <w:left w:val="single" w:sz="4" w:space="0" w:color="B7B7B7"/>
              <w:bottom w:val="single" w:sz="4" w:space="0" w:color="B7B7B7"/>
              <w:right w:val="single" w:sz="4" w:space="0" w:color="B7B7B7"/>
            </w:tcBorders>
          </w:tcPr>
          <w:p>
            <w:pPr>
              <w:spacing w:after="0"/>
              <w:jc w:val="center"/>
            </w:pPr>
            <w:r>
              <w:rPr>
                <w:b/>
                <w:color w:val="1F4E79"/>
                <w:sz w:val="20"/>
              </w:rPr>
              <w:t>20,74</w:t>
            </w:r>
          </w:p>
        </w:tc>
      </w:tr>
      <w:tr>
        <w:trPr>
          <w:trHeight w:val="295"/>
        </w:trPr>
        <w:tc>
          <w:tcPr>
            <w:tcW w:type="dxa" w:w="2041"/>
            <w:vAlign w:val="center"/>
            <w:tcBorders>
              <w:top w:val="single" w:sz="4" w:space="0" w:color="B7B7B7"/>
              <w:left w:val="single" w:sz="4" w:space="0" w:color="B7B7B7"/>
              <w:bottom w:val="single" w:sz="4" w:space="0" w:color="B7B7B7"/>
              <w:right w:val="single" w:sz="4" w:space="0" w:color="B7B7B7"/>
            </w:tcBorders>
          </w:tcPr>
          <w:p>
            <w:pPr>
              <w:spacing w:after="0"/>
              <w:jc w:val="center"/>
            </w:pPr>
            <w:r>
              <w:rPr>
                <w:sz w:val="20"/>
              </w:rPr>
              <w:t>10</w:t>
            </w:r>
          </w:p>
        </w:tc>
        <w:tc>
          <w:tcPr>
            <w:tcW w:type="dxa" w:w="2041"/>
            <w:vAlign w:val="center"/>
            <w:tcBorders>
              <w:top w:val="single" w:sz="4" w:space="0" w:color="B7B7B7"/>
              <w:left w:val="single" w:sz="4" w:space="0" w:color="B7B7B7"/>
              <w:bottom w:val="single" w:sz="4" w:space="0" w:color="B7B7B7"/>
              <w:right w:val="single" w:sz="4" w:space="0" w:color="B7B7B7"/>
            </w:tcBorders>
          </w:tcPr>
          <w:p>
            <w:pPr>
              <w:spacing w:after="0"/>
              <w:jc w:val="center"/>
            </w:pPr>
            <w:r>
              <w:rPr>
                <w:sz w:val="20"/>
              </w:rPr>
              <w:t>193,3</w:t>
            </w:r>
          </w:p>
        </w:tc>
        <w:tc>
          <w:tcPr>
            <w:tcW w:type="dxa" w:w="2494"/>
            <w:vAlign w:val="center"/>
            <w:tcBorders>
              <w:top w:val="single" w:sz="4" w:space="0" w:color="B7B7B7"/>
              <w:left w:val="single" w:sz="4" w:space="0" w:color="B7B7B7"/>
              <w:bottom w:val="single" w:sz="4" w:space="0" w:color="B7B7B7"/>
              <w:right w:val="single" w:sz="4" w:space="0" w:color="B7B7B7"/>
            </w:tcBorders>
          </w:tcPr>
          <w:p>
            <w:pPr>
              <w:spacing w:after="0"/>
              <w:jc w:val="center"/>
            </w:pPr>
            <w:r>
              <w:rPr>
                <w:b/>
                <w:color w:val="1F4E79"/>
                <w:sz w:val="20"/>
              </w:rPr>
              <w:t>19,33</w:t>
            </w:r>
          </w:p>
        </w:tc>
      </w:tr>
    </w:tbl>
    <w:p>
      <w:pPr>
        <w:spacing w:before="100" w:after="40"/>
        <w:ind w:left="482" w:hanging="482"/>
      </w:pPr>
      <w:r>
        <w:rPr>
          <w:b/>
          <w:sz w:val="20"/>
        </w:rPr>
        <w:t xml:space="preserve">4. </w:t>
      </w:r>
      <w:r>
        <w:rPr>
          <w:i/>
          <w:color w:val="555555"/>
          <w:sz w:val="20"/>
        </w:rPr>
        <w:t>Vergleich der Spalte F/q mit Abschnitt 3</w:t>
      </w:r>
    </w:p>
    <w:p>
      <w:pPr>
        <w:spacing w:after="60"/>
        <w:ind w:left="482"/>
      </w:pPr>
      <w:r>
        <w:rPr>
          <w:b w:val="0"/>
          <w:sz w:val="21"/>
        </w:rPr>
        <w:t>Bei idealen Daten stand dort fünfmal exakt 20. Jetzt streuen die Werte zwischen 19,33 und 20,74 µN/nC, also um rund ±3 % um den wahren Wert 20,00.</w:t>
      </w:r>
    </w:p>
    <w:p>
      <w:pPr>
        <w:spacing w:after="60"/>
        <w:ind w:left="482"/>
      </w:pPr>
      <w:r>
        <w:rPr>
          <w:b w:val="0"/>
          <w:sz w:val="21"/>
        </w:rPr>
        <w:t>Der Zusammenhang F ~ q ist weiterhin klar erkennbar – die Streuung überdeckt ihn nicht, sie macht ihn nur ungenau.</w:t>
      </w:r>
    </w:p>
    <w:p>
      <w:pPr>
        <w:spacing w:before="100" w:after="40"/>
        <w:ind w:left="482" w:hanging="482"/>
      </w:pPr>
      <w:r>
        <w:rPr>
          <w:b/>
          <w:sz w:val="20"/>
        </w:rPr>
        <w:t xml:space="preserve">5. </w:t>
      </w:r>
      <w:r>
        <w:rPr>
          <w:i/>
          <w:color w:val="555555"/>
          <w:sz w:val="20"/>
        </w:rPr>
        <w:t>E aus der Einzelmessung bei q = 8 nC</w:t>
      </w:r>
    </w:p>
    <w:p>
      <w:pPr>
        <w:spacing w:after="60"/>
        <w:ind w:left="482"/>
      </w:pPr>
      <w:r>
        <w:rPr>
          <w:b/>
          <w:color w:val="1F4E79"/>
          <w:sz w:val="21"/>
        </w:rPr>
        <w:t>E = 165,9 µN / 8 nC = 20,74 µN/nC = 20 740 V/m  →  +3,7 % zu hoch.</w:t>
      </w:r>
    </w:p>
    <w:p>
      <w:pPr>
        <w:spacing w:before="100" w:after="40"/>
        <w:ind w:left="482" w:hanging="482"/>
      </w:pPr>
      <w:r>
        <w:rPr>
          <w:b/>
          <w:sz w:val="20"/>
        </w:rPr>
        <w:t xml:space="preserve">6. </w:t>
      </w:r>
      <w:r>
        <w:rPr>
          <w:i/>
          <w:color w:val="555555"/>
          <w:sz w:val="20"/>
        </w:rPr>
        <w:t>E aus der Steigung der Ausgleichsgeraden</w:t>
      </w:r>
    </w:p>
    <w:p>
      <w:pPr>
        <w:spacing w:after="60"/>
        <w:ind w:left="482"/>
      </w:pPr>
      <w:r>
        <w:rPr>
          <w:b w:val="0"/>
          <w:sz w:val="21"/>
        </w:rPr>
        <w:t>Eine von Hand gut gelegte Ausgleichsgerade liefert etwa k ≈ 19,8 … 20,0 µN/nC, also E ≈ 19 800 … 20 000 V/m. Die rechnerische Ausgleichsgerade ergibt k = 19,76 µN/nC, das sind 19 757 V/m (−1,2 %).</w:t>
      </w:r>
    </w:p>
    <w:p>
      <w:pPr>
        <w:spacing w:before="100" w:after="40"/>
        <w:ind w:left="482" w:hanging="482"/>
      </w:pPr>
      <w:r>
        <w:rPr>
          <w:b/>
          <w:sz w:val="20"/>
        </w:rPr>
        <w:t xml:space="preserve">7. </w:t>
      </w:r>
      <w:r>
        <w:rPr>
          <w:i/>
          <w:color w:val="555555"/>
          <w:sz w:val="20"/>
        </w:rPr>
        <w:t>Vergleich beider Verfahren</w:t>
      </w:r>
    </w:p>
    <w:p>
      <w:pPr>
        <w:spacing w:after="60"/>
        <w:ind w:left="482"/>
      </w:pPr>
      <w:r>
        <w:rPr>
          <w:b/>
          <w:color w:val="1F4E79"/>
          <w:sz w:val="21"/>
        </w:rPr>
        <w:t>Einzelmessung: 3,7 % daneben. Ausgleichsgerade: 1,2 % daneben – rund dreimal genauer.</w:t>
      </w:r>
    </w:p>
    <w:p>
      <w:pPr>
        <w:spacing w:after="60"/>
        <w:ind w:left="482"/>
      </w:pPr>
      <w:r>
        <w:rPr>
          <w:b w:val="0"/>
          <w:sz w:val="21"/>
        </w:rPr>
        <w:t>Grund: In eine einzelne Messung geht genau ein Messfehler voll ein. Die Ausgleichsgerade nutzt alle Messpunkte; zufällige Fehler nach oben und unten gleichen sich dabei teilweise aus.</w:t>
      </w:r>
    </w:p>
    <w:p>
      <w:pPr>
        <w:spacing w:after="60"/>
        <w:ind w:left="482"/>
      </w:pPr>
      <w:r>
        <w:rPr>
          <w:b w:val="0"/>
          <w:sz w:val="21"/>
        </w:rPr>
        <w:t>Wichtiger Hinweis für die Besprechung: Ein Steigungsdreieck zwischen zwei einzelnen Messpunkten bringt nichts – es enthält beide Fehler. Mit den Punkten bei q = 2 und q = 10 käme k = 19,18 µN/nC heraus, also −4,1 % und damit schlechter als jede Einzelmessung. Das Dreieck muss an der gezeichneten Geraden anliegen.</w:t>
      </w:r>
    </w:p>
    <w:p>
      <w:pPr>
        <w:spacing w:before="100" w:after="40"/>
        <w:ind w:left="482" w:hanging="482"/>
      </w:pPr>
      <w:r>
        <w:rPr>
          <w:b/>
          <w:sz w:val="20"/>
        </w:rPr>
        <w:t xml:space="preserve">8. </w:t>
      </w:r>
      <w:r>
        <w:rPr>
          <w:i/>
          <w:color w:val="555555"/>
          <w:sz w:val="20"/>
        </w:rPr>
        <w:t>Anzeige bei q = 0</w:t>
      </w:r>
    </w:p>
    <w:p>
      <w:pPr>
        <w:spacing w:after="60"/>
        <w:ind w:left="482"/>
      </w:pPr>
      <w:r>
        <w:rPr>
          <w:b/>
          <w:color w:val="1F4E79"/>
          <w:sz w:val="21"/>
        </w:rPr>
        <w:t>Der Kraftmesser zeigt 0,45 µN statt 0 – er ist nicht sauber genullt (Nullpunktfehler).</w:t>
      </w:r>
    </w:p>
    <w:p>
      <w:pPr>
        <w:spacing w:after="60"/>
        <w:ind w:left="482"/>
      </w:pPr>
      <w:r>
        <w:rPr>
          <w:b w:val="0"/>
          <w:sz w:val="21"/>
        </w:rPr>
        <w:t>Dieser Fehler ist absolut, nicht relativ: Er beträgt immer etwa 0,45 µN. Bei großen Kräften (200 µN) sind das 0,2 %, bei kleinen Kräften (2 µN) schon 22 %. Er stört also bei kleinen Ladungen am meisten – genau deshalb misst man nach Möglichkeit im oberen Bereich der Skala.</w:t>
      </w:r>
    </w:p>
    <w:p>
      <w:pPr>
        <w:spacing w:before="180" w:after="80"/>
        <w:pBdr>
          <w:bottom w:val="single" w:sz="6" w:space="0" w:color="763030"/>
        </w:pBdr>
      </w:pPr>
      <w:r>
        <w:rPr>
          <w:b/>
          <w:color w:val="763030"/>
          <w:sz w:val="24"/>
        </w:rPr>
        <w:t xml:space="preserve">   Hinweise zum Teil Messunsicherheit</w:t>
      </w:r>
    </w:p>
    <w:p>
      <w:pPr>
        <w:spacing w:after="80"/>
        <w:ind w:left="425" w:hanging="425"/>
      </w:pPr>
      <w:r>
        <w:rPr>
          <w:sz w:val="21"/>
        </w:rPr>
        <w:t xml:space="preserve">•  </w:t>
      </w:r>
      <w:r>
        <w:rPr>
          <w:sz w:val="21"/>
        </w:rPr>
        <w:t>Die Werte oben gelten exakt für U = 2000 V, d = 10,0 cm und A = 500 cm². Werden andere Einstellungen benutzt, ändern sich die Messwerte – der Fehler ist an die Einstellung gekoppelt, nicht zufällig pro Aufruf.</w:t>
      </w:r>
    </w:p>
    <w:p>
      <w:pPr>
        <w:spacing w:after="80"/>
        <w:ind w:left="425" w:hanging="425"/>
      </w:pPr>
      <w:r>
        <w:rPr>
          <w:sz w:val="21"/>
        </w:rPr>
        <w:t xml:space="preserve">•  </w:t>
      </w:r>
      <w:r>
        <w:rPr>
          <w:sz w:val="21"/>
        </w:rPr>
        <w:t>Kernbotschaft: Nicht der einzelne Messwert zählt, sondern die Messreihe. Das ist der eigentliche Grund, warum man in der Physik Diagramme zeichnet und Ausgleichsgeraden legt, statt einmal zu messen und zu dividieren.</w:t>
      </w:r>
    </w:p>
    <w:p>
      <w:pPr>
        <w:spacing w:after="80"/>
        <w:ind w:left="425" w:hanging="425"/>
      </w:pPr>
      <w:r>
        <w:rPr>
          <w:sz w:val="21"/>
        </w:rPr>
        <w:t xml:space="preserve">•  </w:t>
      </w:r>
      <w:r>
        <w:rPr>
          <w:sz w:val="21"/>
        </w:rPr>
        <w:t>Wer mag, kann die Simulation die Auswertung selbst machen lassen: Bei „Reale Daten" passt sie eine allgemeine Gerade an und gibt Steigung und Achsenabschnitt getrennt aus. Der Achsenabschnitt ist ein Hinweis auf den Nullpunktfehler, aus wenigen Messwerten aber selbst nur grob bestimmt.</w:t>
      </w:r>
    </w:p>
    <w:sectPr w:rsidR="00FC693F" w:rsidRPr="0006063C" w:rsidSect="00034616">
      <w:pgSz w:w="11906" w:h="16838"/>
      <w:pgMar w:top="907"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