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120" w:line="240" w:lineRule="auto"/>
        <w:jc w:val="center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Lab Protocol</w:t>
      </w:r>
    </w:p>
    <w:p>
      <w:pPr>
        <w:spacing w:after="120" w:line="240" w:lineRule="auto"/>
        <w:jc w:val="center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 xml:space="preserve">PAC-SPEED </w:t>
      </w:r>
    </w:p>
    <w:p>
      <w:pPr>
        <w:jc w:val="center"/>
        <w:rPr>
          <w:b/>
          <w:sz w:val="28"/>
          <w:szCs w:val="28"/>
          <w:u w:val="single"/>
          <w:lang w:val="en-US"/>
        </w:rPr>
      </w:pPr>
    </w:p>
    <w:p>
      <w:pPr>
        <w:rPr>
          <w:b/>
          <w:i/>
          <w:lang w:val="en-US"/>
        </w:rPr>
      </w:pPr>
      <w:r>
        <w:rPr>
          <w:b/>
          <w:i/>
          <w:lang w:val="en-US"/>
        </w:rPr>
        <w:t>Reagents</w:t>
      </w:r>
    </w:p>
    <w:p>
      <w:pPr>
        <w:ind w:firstLine="360"/>
        <w:rPr>
          <w:b/>
          <w:i/>
          <w:lang w:val="en-US"/>
        </w:rPr>
      </w:pPr>
      <w:r>
        <w:rPr>
          <w:b/>
          <w:i/>
          <w:lang w:val="en-US"/>
        </w:rPr>
        <w:t>SPEED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Trifluoroacetic Acid (TFA)</w:t>
      </w:r>
      <w:r>
        <w:rPr>
          <w:sz w:val="20"/>
          <w:szCs w:val="20"/>
          <w:lang w:val="en-US"/>
        </w:rPr>
        <w:t>, ≥ 99 %</w:t>
      </w:r>
      <w:r>
        <w:rPr>
          <w:b/>
          <w:color w:val="FF0000"/>
          <w:sz w:val="20"/>
          <w:szCs w:val="20"/>
          <w:lang w:val="en-US"/>
        </w:rPr>
        <w:t xml:space="preserve"> </w:t>
      </w:r>
    </w:p>
    <w:p>
      <w:pPr>
        <w:pStyle w:val="Listenabsatz"/>
        <w:spacing w:after="0"/>
        <w:rPr>
          <w:b/>
          <w:i/>
          <w:sz w:val="20"/>
          <w:szCs w:val="20"/>
          <w:lang w:val="en-US"/>
        </w:rPr>
      </w:pPr>
      <w:r>
        <w:rPr>
          <w:b/>
          <w:i/>
          <w:color w:val="FF0000"/>
          <w:sz w:val="20"/>
          <w:szCs w:val="20"/>
          <w:lang w:val="en-US"/>
        </w:rPr>
        <w:t>Caution: TFA is highly corrosive. Handle in a fume hood with appropriate personal protective equipment!!!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Neutralization Buffer:</w:t>
      </w:r>
      <w:r>
        <w:rPr>
          <w:sz w:val="20"/>
          <w:szCs w:val="20"/>
          <w:lang w:val="en-US"/>
        </w:rPr>
        <w:t xml:space="preserve"> 2M </w:t>
      </w:r>
      <w:proofErr w:type="spellStart"/>
      <w:r>
        <w:rPr>
          <w:sz w:val="20"/>
          <w:szCs w:val="20"/>
          <w:lang w:val="en-US"/>
        </w:rPr>
        <w:t>TrisBase</w:t>
      </w:r>
      <w:proofErr w:type="spellEnd"/>
      <w:r>
        <w:rPr>
          <w:sz w:val="20"/>
          <w:szCs w:val="20"/>
          <w:lang w:val="en-US"/>
        </w:rPr>
        <w:t xml:space="preserve"> in H</w:t>
      </w:r>
      <w:r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>O (12.1 g/50 mL)</w:t>
      </w:r>
    </w:p>
    <w:p>
      <w:pPr>
        <w:pStyle w:val="Listenabsatz"/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>(pH should not be adjusted!)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Reduction/Alkylation Solution (10x):</w:t>
      </w:r>
      <w:r>
        <w:rPr>
          <w:sz w:val="20"/>
          <w:szCs w:val="20"/>
          <w:lang w:val="en-US"/>
        </w:rPr>
        <w:t xml:space="preserve"> 100 mM Tris(2-</w:t>
      </w:r>
      <w:proofErr w:type="gramStart"/>
      <w:r>
        <w:rPr>
          <w:sz w:val="20"/>
          <w:szCs w:val="20"/>
          <w:lang w:val="en-US"/>
        </w:rPr>
        <w:t>carboxyethyl)phosphine</w:t>
      </w:r>
      <w:proofErr w:type="gramEnd"/>
      <w:r>
        <w:rPr>
          <w:sz w:val="20"/>
          <w:szCs w:val="20"/>
          <w:lang w:val="en-US"/>
        </w:rPr>
        <w:t xml:space="preserve"> (TCEP, 29 mg/mL), </w:t>
      </w:r>
    </w:p>
    <w:p>
      <w:pPr>
        <w:pStyle w:val="Listenabsatz"/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400 mM 2-Chloroacetamide (CAA, 37 mg/mL) in H</w:t>
      </w:r>
      <w:r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 xml:space="preserve">O </w:t>
      </w:r>
    </w:p>
    <w:p>
      <w:pPr>
        <w:pStyle w:val="Listenabsatz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(Prepare fresh before use. Weighed aliquots of TCEP and CAA can be stored at 4°C)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Sample Dilution Buffer:</w:t>
      </w:r>
      <w:r>
        <w:rPr>
          <w:sz w:val="20"/>
          <w:szCs w:val="20"/>
          <w:lang w:val="en-US"/>
        </w:rPr>
        <w:t xml:space="preserve"> 10:1 (v/v) mixture of 2M </w:t>
      </w:r>
      <w:proofErr w:type="spellStart"/>
      <w:r>
        <w:rPr>
          <w:sz w:val="20"/>
          <w:szCs w:val="20"/>
          <w:lang w:val="en-US"/>
        </w:rPr>
        <w:t>TrisBase</w:t>
      </w:r>
      <w:proofErr w:type="spellEnd"/>
      <w:r>
        <w:rPr>
          <w:sz w:val="20"/>
          <w:szCs w:val="20"/>
          <w:lang w:val="en-US"/>
        </w:rPr>
        <w:t xml:space="preserve"> and TFA </w:t>
      </w:r>
    </w:p>
    <w:p>
      <w:pPr>
        <w:pStyle w:val="Listenabsatz"/>
        <w:numPr>
          <w:ilvl w:val="0"/>
          <w:numId w:val="2"/>
        </w:numPr>
        <w:spacing w:after="0"/>
        <w:rPr>
          <w:color w:val="000000" w:themeColor="text1"/>
          <w:sz w:val="20"/>
          <w:szCs w:val="20"/>
          <w:lang w:val="en-US"/>
        </w:rPr>
      </w:pPr>
      <w:proofErr w:type="spellStart"/>
      <w:r>
        <w:rPr>
          <w:rFonts w:cs="Arial"/>
          <w:b/>
          <w:bCs/>
          <w:color w:val="000000" w:themeColor="text1"/>
          <w:sz w:val="20"/>
          <w:szCs w:val="20"/>
          <w:lang w:val="en-US"/>
        </w:rPr>
        <w:t>MagReSyn</w:t>
      </w:r>
      <w:proofErr w:type="spellEnd"/>
      <w:r>
        <w:rPr>
          <w:rFonts w:cs="Arial"/>
          <w:b/>
          <w:bCs/>
          <w:color w:val="000000" w:themeColor="text1"/>
          <w:sz w:val="20"/>
          <w:szCs w:val="20"/>
          <w:lang w:val="en-US"/>
        </w:rPr>
        <w:t>® Amine Beads (20 mg/ml)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H</w:t>
      </w:r>
      <w:r>
        <w:rPr>
          <w:b/>
          <w:sz w:val="20"/>
          <w:szCs w:val="20"/>
          <w:vertAlign w:val="subscript"/>
          <w:lang w:val="en-US"/>
        </w:rPr>
        <w:t>2</w:t>
      </w:r>
      <w:r>
        <w:rPr>
          <w:b/>
          <w:sz w:val="20"/>
          <w:szCs w:val="20"/>
          <w:lang w:val="en-US"/>
        </w:rPr>
        <w:t xml:space="preserve">O </w:t>
      </w:r>
      <w:r>
        <w:rPr>
          <w:i/>
          <w:sz w:val="20"/>
          <w:szCs w:val="20"/>
          <w:lang w:val="en-US"/>
        </w:rPr>
        <w:t>(LCMS grade)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Acetonitrile </w:t>
      </w:r>
      <w:r>
        <w:rPr>
          <w:i/>
          <w:sz w:val="20"/>
          <w:szCs w:val="20"/>
          <w:lang w:val="en-US"/>
        </w:rPr>
        <w:t>(LCMS grade)</w:t>
      </w:r>
    </w:p>
    <w:p>
      <w:pPr>
        <w:pStyle w:val="Listenabsatz"/>
        <w:numPr>
          <w:ilvl w:val="0"/>
          <w:numId w:val="2"/>
        </w:numPr>
        <w:spacing w:after="0"/>
        <w:rPr>
          <w:i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80 % Ethanol </w:t>
      </w:r>
      <w:r>
        <w:rPr>
          <w:i/>
          <w:sz w:val="20"/>
          <w:szCs w:val="20"/>
          <w:lang w:val="en-US"/>
        </w:rPr>
        <w:t>(LCMS grade)</w:t>
      </w:r>
    </w:p>
    <w:p>
      <w:pPr>
        <w:pStyle w:val="Listenabsatz"/>
        <w:numPr>
          <w:ilvl w:val="0"/>
          <w:numId w:val="2"/>
        </w:numPr>
        <w:spacing w:after="0"/>
        <w:rPr>
          <w:i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10 % Trifluoroacetic Acid (TFA)</w:t>
      </w:r>
    </w:p>
    <w:p>
      <w:pPr>
        <w:pStyle w:val="Listenabsatz"/>
        <w:numPr>
          <w:ilvl w:val="0"/>
          <w:numId w:val="2"/>
        </w:numPr>
        <w:spacing w:after="0"/>
        <w:rPr>
          <w:i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Digestion Buffer: </w:t>
      </w:r>
      <w:r>
        <w:rPr>
          <w:sz w:val="20"/>
          <w:szCs w:val="20"/>
          <w:lang w:val="en-US"/>
        </w:rPr>
        <w:t xml:space="preserve">50 mM </w:t>
      </w:r>
      <w:r>
        <w:rPr>
          <w:b/>
          <w:sz w:val="20"/>
          <w:szCs w:val="20"/>
          <w:lang w:val="en-US"/>
        </w:rPr>
        <w:t xml:space="preserve">TEAB </w:t>
      </w:r>
      <w:r>
        <w:rPr>
          <w:sz w:val="20"/>
          <w:szCs w:val="20"/>
          <w:lang w:val="en-US"/>
        </w:rPr>
        <w:t>in</w:t>
      </w:r>
      <w:r>
        <w:rPr>
          <w:b/>
          <w:sz w:val="20"/>
          <w:szCs w:val="20"/>
          <w:lang w:val="en-US"/>
        </w:rPr>
        <w:t xml:space="preserve"> </w:t>
      </w:r>
      <w:bookmarkStart w:id="0" w:name="_Hlk118385576"/>
      <w:r>
        <w:rPr>
          <w:b/>
          <w:sz w:val="20"/>
          <w:szCs w:val="20"/>
          <w:lang w:val="en-US"/>
        </w:rPr>
        <w:t>H</w:t>
      </w:r>
      <w:r>
        <w:rPr>
          <w:b/>
          <w:sz w:val="20"/>
          <w:szCs w:val="20"/>
          <w:vertAlign w:val="subscript"/>
          <w:lang w:val="en-US"/>
        </w:rPr>
        <w:t>2</w:t>
      </w:r>
      <w:r>
        <w:rPr>
          <w:b/>
          <w:sz w:val="20"/>
          <w:szCs w:val="20"/>
          <w:lang w:val="en-US"/>
        </w:rPr>
        <w:t>O</w:t>
      </w:r>
      <w:bookmarkEnd w:id="0"/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Trypsin Stock Solution: </w:t>
      </w:r>
      <w:r>
        <w:rPr>
          <w:sz w:val="20"/>
          <w:szCs w:val="20"/>
          <w:lang w:val="en-US"/>
        </w:rPr>
        <w:t>1µg/µl Trypsin in 50mM acetic acid (Platinum, MS Grade Promega)</w:t>
      </w:r>
    </w:p>
    <w:p>
      <w:pPr>
        <w:spacing w:after="0"/>
        <w:ind w:left="360"/>
        <w:rPr>
          <w:sz w:val="20"/>
          <w:szCs w:val="20"/>
          <w:lang w:val="en-US"/>
        </w:rPr>
      </w:pPr>
    </w:p>
    <w:p>
      <w:pPr>
        <w:spacing w:after="0"/>
        <w:rPr>
          <w:sz w:val="20"/>
          <w:szCs w:val="20"/>
          <w:lang w:val="en-US"/>
        </w:rPr>
      </w:pPr>
    </w:p>
    <w:p>
      <w:pPr>
        <w:rPr>
          <w:b/>
          <w:i/>
          <w:lang w:val="en-US"/>
        </w:rPr>
      </w:pPr>
      <w:r>
        <w:rPr>
          <w:b/>
          <w:i/>
          <w:lang w:val="en-US"/>
        </w:rPr>
        <w:t>Equipment</w:t>
      </w:r>
    </w:p>
    <w:p>
      <w:pPr>
        <w:ind w:firstLine="360"/>
        <w:rPr>
          <w:b/>
          <w:i/>
          <w:lang w:val="en-US"/>
        </w:rPr>
      </w:pPr>
      <w:r>
        <w:rPr>
          <w:b/>
          <w:i/>
          <w:lang w:val="en-US"/>
        </w:rPr>
        <w:t>SPEED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Pipette Tips </w:t>
      </w:r>
    </w:p>
    <w:p>
      <w:pPr>
        <w:pStyle w:val="Listenabsatz"/>
        <w:spacing w:after="0"/>
        <w:rPr>
          <w:sz w:val="20"/>
          <w:szCs w:val="20"/>
          <w:lang w:val="en-US"/>
        </w:rPr>
      </w:pPr>
      <w:r>
        <w:rPr>
          <w:i/>
          <w:sz w:val="16"/>
          <w:szCs w:val="16"/>
          <w:lang w:val="en-US"/>
        </w:rPr>
        <w:t xml:space="preserve">(need to be resistant to TFA, e.g. </w:t>
      </w:r>
      <w:proofErr w:type="spellStart"/>
      <w:r>
        <w:rPr>
          <w:i/>
          <w:sz w:val="16"/>
          <w:szCs w:val="16"/>
          <w:lang w:val="en-US"/>
        </w:rPr>
        <w:t>epT.I.P.S</w:t>
      </w:r>
      <w:proofErr w:type="spellEnd"/>
      <w:r>
        <w:rPr>
          <w:i/>
          <w:sz w:val="16"/>
          <w:szCs w:val="16"/>
          <w:lang w:val="en-US"/>
        </w:rPr>
        <w:t>. from Eppendorf)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PCR tubes</w:t>
      </w:r>
    </w:p>
    <w:p>
      <w:pPr>
        <w:pStyle w:val="Listenabsatz"/>
        <w:spacing w:after="0"/>
        <w:rPr>
          <w:i/>
          <w:sz w:val="16"/>
          <w:szCs w:val="16"/>
          <w:lang w:val="en-US"/>
        </w:rPr>
      </w:pPr>
      <w:r>
        <w:rPr>
          <w:i/>
          <w:sz w:val="16"/>
          <w:szCs w:val="16"/>
          <w:lang w:val="en-US"/>
        </w:rPr>
        <w:t xml:space="preserve">(need to be resistant to solvents, </w:t>
      </w:r>
      <w:proofErr w:type="spellStart"/>
      <w:r>
        <w:rPr>
          <w:i/>
          <w:sz w:val="16"/>
          <w:szCs w:val="16"/>
          <w:lang w:val="en-US"/>
        </w:rPr>
        <w:t>e.g</w:t>
      </w:r>
      <w:proofErr w:type="spellEnd"/>
      <w:r>
        <w:rPr>
          <w:i/>
          <w:sz w:val="16"/>
          <w:szCs w:val="16"/>
          <w:lang w:val="en-US"/>
        </w:rPr>
        <w:t xml:space="preserve"> from Eppendorf)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Protein </w:t>
      </w:r>
      <w:proofErr w:type="spellStart"/>
      <w:r>
        <w:rPr>
          <w:sz w:val="20"/>
          <w:szCs w:val="20"/>
          <w:lang w:val="en-US"/>
        </w:rPr>
        <w:t>LoBind</w:t>
      </w:r>
      <w:proofErr w:type="spellEnd"/>
      <w:r>
        <w:rPr>
          <w:sz w:val="20"/>
          <w:szCs w:val="20"/>
          <w:lang w:val="en-US"/>
        </w:rPr>
        <w:t xml:space="preserve"> Microcentrifuge Tubes (1.5 mL) </w:t>
      </w:r>
    </w:p>
    <w:p>
      <w:pPr>
        <w:pStyle w:val="Listenabsatz"/>
        <w:spacing w:after="0"/>
        <w:rPr>
          <w:i/>
          <w:sz w:val="16"/>
          <w:szCs w:val="16"/>
          <w:lang w:val="en-US"/>
        </w:rPr>
      </w:pPr>
      <w:r>
        <w:rPr>
          <w:i/>
          <w:sz w:val="16"/>
          <w:szCs w:val="16"/>
          <w:lang w:val="en-US"/>
        </w:rPr>
        <w:t xml:space="preserve">(need to be resistant to TFA, </w:t>
      </w:r>
      <w:proofErr w:type="spellStart"/>
      <w:r>
        <w:rPr>
          <w:i/>
          <w:sz w:val="16"/>
          <w:szCs w:val="16"/>
          <w:lang w:val="en-US"/>
        </w:rPr>
        <w:t>e.g</w:t>
      </w:r>
      <w:proofErr w:type="spellEnd"/>
      <w:r>
        <w:rPr>
          <w:i/>
          <w:sz w:val="16"/>
          <w:szCs w:val="16"/>
          <w:lang w:val="en-US"/>
        </w:rPr>
        <w:t xml:space="preserve"> </w:t>
      </w:r>
      <w:proofErr w:type="spellStart"/>
      <w:r>
        <w:rPr>
          <w:i/>
          <w:sz w:val="16"/>
          <w:szCs w:val="16"/>
          <w:lang w:val="en-US"/>
        </w:rPr>
        <w:t>epT.I.P.S</w:t>
      </w:r>
      <w:proofErr w:type="spellEnd"/>
      <w:r>
        <w:rPr>
          <w:i/>
          <w:sz w:val="16"/>
          <w:szCs w:val="16"/>
          <w:lang w:val="en-US"/>
        </w:rPr>
        <w:t>. from Eppendorf)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ThermoMixer</w:t>
      </w:r>
      <w:proofErr w:type="spellEnd"/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UV-VIS Spectrophotometer (</w:t>
      </w:r>
      <w:proofErr w:type="spellStart"/>
      <w:r>
        <w:rPr>
          <w:sz w:val="20"/>
          <w:szCs w:val="20"/>
          <w:lang w:val="en-US"/>
        </w:rPr>
        <w:t>Implen</w:t>
      </w:r>
      <w:proofErr w:type="spellEnd"/>
      <w:r>
        <w:rPr>
          <w:sz w:val="20"/>
          <w:szCs w:val="20"/>
          <w:lang w:val="en-US"/>
        </w:rPr>
        <w:t xml:space="preserve"> NP80)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Disposable UV cuvettes (75 -1500 µL)</w:t>
      </w:r>
    </w:p>
    <w:p>
      <w:pPr>
        <w:pStyle w:val="Listenabsatz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Magnetic Rack for PCR stripes and for Microcentrifuge Tubes</w:t>
      </w:r>
    </w:p>
    <w:p>
      <w:pPr>
        <w:pStyle w:val="Listenabsatz"/>
        <w:tabs>
          <w:tab w:val="left" w:pos="5409"/>
        </w:tabs>
        <w:spacing w:after="0"/>
        <w:rPr>
          <w:color w:val="FF0000"/>
          <w:sz w:val="20"/>
          <w:szCs w:val="20"/>
          <w:lang w:val="en-US"/>
        </w:rPr>
      </w:pPr>
      <w:r>
        <w:rPr>
          <w:color w:val="FF0000"/>
          <w:sz w:val="20"/>
          <w:szCs w:val="20"/>
          <w:lang w:val="en-US"/>
        </w:rPr>
        <w:tab/>
      </w:r>
    </w:p>
    <w:p>
      <w:pPr>
        <w:pStyle w:val="Listenabsatz"/>
        <w:spacing w:after="0"/>
        <w:rPr>
          <w:color w:val="FF0000"/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</w:p>
    <w:p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>
      <w:pPr>
        <w:spacing w:after="0"/>
        <w:ind w:left="360"/>
        <w:rPr>
          <w:sz w:val="20"/>
          <w:szCs w:val="20"/>
          <w:lang w:val="en-US"/>
        </w:rPr>
      </w:pPr>
      <w:r>
        <w:rPr>
          <w:b/>
          <w:i/>
          <w:lang w:val="en-US"/>
        </w:rPr>
        <w:lastRenderedPageBreak/>
        <w:t>Protocol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Wash </w:t>
      </w:r>
      <w:r>
        <w:rPr>
          <w:b/>
          <w:lang w:val="en-US"/>
        </w:rPr>
        <w:t xml:space="preserve">cells/tissue </w:t>
      </w:r>
      <w:r>
        <w:rPr>
          <w:lang w:val="en-US"/>
        </w:rPr>
        <w:t>extensively to remove media/blood proteins.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Lyse </w:t>
      </w:r>
      <w:r>
        <w:rPr>
          <w:b/>
          <w:lang w:val="en-US"/>
        </w:rPr>
        <w:t>cells/tissue</w:t>
      </w:r>
      <w:r>
        <w:rPr>
          <w:lang w:val="en-US"/>
        </w:rPr>
        <w:t xml:space="preserve"> in </w:t>
      </w:r>
      <w:r>
        <w:rPr>
          <w:b/>
          <w:lang w:val="en-US"/>
        </w:rPr>
        <w:t>TFA</w:t>
      </w:r>
      <w:r>
        <w:rPr>
          <w:lang w:val="en-US"/>
        </w:rPr>
        <w:t xml:space="preserve"> (sample : TFA ~ 1:4 - 1:8 (v/v)) for 2 – 10 min at RT</w:t>
      </w:r>
    </w:p>
    <w:p>
      <w:pPr>
        <w:pStyle w:val="Listenabsatz"/>
        <w:rPr>
          <w:i/>
          <w:sz w:val="18"/>
          <w:szCs w:val="18"/>
          <w:lang w:val="en-US"/>
        </w:rPr>
      </w:pPr>
      <w:r>
        <w:rPr>
          <w:i/>
          <w:sz w:val="18"/>
          <w:szCs w:val="18"/>
          <w:lang w:val="en-US"/>
        </w:rPr>
        <w:t xml:space="preserve">Sample should be mixed by pipetting occasionally. Usually lysis of cells takes 2-3 min and lysis of tissue up to 10 min. Proteins are stable in TFA for at least 1h (no longer incubation times were tested). Lysis is complete when all cells/tissue are solubilized and DNA is fully degraded (viscosity is water-like). </w:t>
      </w:r>
    </w:p>
    <w:p>
      <w:pPr>
        <w:pStyle w:val="Listenabsatz"/>
        <w:ind w:left="1710" w:hanging="27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1.1 Gram-positive bacteria require heating for 3 min at 70°C for efficient lysis. </w:t>
      </w:r>
    </w:p>
    <w:p>
      <w:pPr>
        <w:pStyle w:val="Listenabsatz"/>
        <w:ind w:left="1710" w:hanging="27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1.2 Samples should be neutralized instantly after heating. 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</w:t>
      </w:r>
      <w:r>
        <w:rPr>
          <w:b/>
          <w:lang w:val="en-US"/>
        </w:rPr>
        <w:t>Neutralization Buffer</w:t>
      </w:r>
      <w:r>
        <w:rPr>
          <w:lang w:val="en-US"/>
        </w:rPr>
        <w:t xml:space="preserve"> (10 x volume of TFA (step 1))</w:t>
      </w:r>
    </w:p>
    <w:p>
      <w:pPr>
        <w:pStyle w:val="Listenabsatz"/>
        <w:rPr>
          <w:lang w:val="en-US"/>
        </w:rPr>
      </w:pPr>
      <w:r>
        <w:rPr>
          <w:i/>
          <w:sz w:val="18"/>
          <w:szCs w:val="18"/>
          <w:lang w:val="en-US"/>
        </w:rPr>
        <w:t>pH should be ~ 8-9. Samples heat up (exothermic neutralization) and become turbid (proteins precipitate).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</w:t>
      </w:r>
      <w:r>
        <w:rPr>
          <w:b/>
          <w:lang w:val="en-US"/>
        </w:rPr>
        <w:t>Reduction/Alkylation Buffer</w:t>
      </w:r>
      <w:r>
        <w:rPr>
          <w:lang w:val="en-US"/>
        </w:rPr>
        <w:t xml:space="preserve"> (1.1 x volume of TFA (step 1))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Incubate at 95°C for 5 min</w:t>
      </w:r>
    </w:p>
    <w:p>
      <w:pPr>
        <w:pStyle w:val="Listenabsatz"/>
        <w:rPr>
          <w:lang w:val="en-US"/>
        </w:rPr>
      </w:pPr>
      <w:r>
        <w:rPr>
          <w:i/>
          <w:sz w:val="18"/>
          <w:szCs w:val="18"/>
          <w:lang w:val="en-US"/>
        </w:rPr>
        <w:t>Samples can be stored at - 20 or - 80°C for several months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Determine protein concentration using </w:t>
      </w:r>
      <w:r>
        <w:rPr>
          <w:b/>
          <w:lang w:val="en-US"/>
        </w:rPr>
        <w:t>Turbidity Measurement</w:t>
      </w:r>
    </w:p>
    <w:p>
      <w:pPr>
        <w:pStyle w:val="Listenabsatz"/>
        <w:rPr>
          <w:i/>
          <w:sz w:val="18"/>
          <w:szCs w:val="18"/>
          <w:lang w:val="en-US"/>
        </w:rPr>
      </w:pPr>
      <w:r>
        <w:rPr>
          <w:i/>
          <w:sz w:val="18"/>
          <w:szCs w:val="18"/>
          <w:lang w:val="en-US"/>
        </w:rPr>
        <w:t>Protein concentration determination in Gram-positive bacteria might be overestimated if heat-assisted cell lysis is incomplete, which can affect peptide yield.</w:t>
      </w:r>
    </w:p>
    <w:p>
      <w:pPr>
        <w:pStyle w:val="Listenabsatz"/>
        <w:ind w:left="1710" w:hanging="270"/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5.1 Transfer samples to disposable UV cuvettes (dilute with </w:t>
      </w:r>
      <w:r>
        <w:rPr>
          <w:b/>
          <w:sz w:val="18"/>
          <w:szCs w:val="18"/>
          <w:lang w:val="en-US"/>
        </w:rPr>
        <w:t xml:space="preserve">Sample Dilution Buffer </w:t>
      </w:r>
      <w:r>
        <w:rPr>
          <w:sz w:val="18"/>
          <w:szCs w:val="18"/>
          <w:lang w:val="en-US"/>
        </w:rPr>
        <w:t>if necessary</w:t>
      </w:r>
      <w:r>
        <w:rPr>
          <w:b/>
          <w:sz w:val="18"/>
          <w:szCs w:val="18"/>
          <w:lang w:val="en-US"/>
        </w:rPr>
        <w:t>)</w:t>
      </w:r>
    </w:p>
    <w:p>
      <w:pPr>
        <w:pStyle w:val="Listenabsatz"/>
        <w:ind w:left="1710" w:hanging="27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5.2 Measure absorption at 360 nm using a UV-VIS Spectrophotometer</w:t>
      </w:r>
    </w:p>
    <w:p>
      <w:pPr>
        <w:pStyle w:val="Listenabsatz"/>
        <w:ind w:left="1710" w:hanging="270"/>
        <w:rPr>
          <w:i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5.3 Calculate protein concentration </w:t>
      </w:r>
      <w:r>
        <w:rPr>
          <w:i/>
          <w:sz w:val="18"/>
          <w:szCs w:val="18"/>
          <w:lang w:val="en-US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Protein</m:t>
            </m:r>
          </m:sub>
        </m:sSub>
        <m:r>
          <w:rPr>
            <w:rFonts w:ascii="Cambria Math" w:hAnsi="Cambria Math"/>
            <w:sz w:val="18"/>
            <w:szCs w:val="18"/>
            <w:lang w:val="en-US"/>
          </w:rPr>
          <m:t xml:space="preserve"> [</m:t>
        </m:r>
        <m:f>
          <m:fPr>
            <m:ctrlPr>
              <w:rPr>
                <w:rFonts w:ascii="Cambria Math" w:hAnsi="Cambria Math"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lang w:val="en-US"/>
              </w:rPr>
              <m:t>µg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lang w:val="en-US"/>
              </w:rPr>
              <m:t>µL</m:t>
            </m:r>
          </m:den>
        </m:f>
        <m:r>
          <w:rPr>
            <w:rFonts w:ascii="Cambria Math" w:hAnsi="Cambria Math"/>
            <w:sz w:val="18"/>
            <w:szCs w:val="18"/>
            <w:lang w:val="en-US"/>
          </w:rPr>
          <m:t>]=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A360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Sample</m:t>
            </m:r>
          </m:sub>
        </m:sSub>
        <m:r>
          <w:rPr>
            <w:rFonts w:ascii="Cambria Math" w:hAnsi="Cambria Math"/>
            <w:sz w:val="18"/>
            <w:szCs w:val="18"/>
            <w:lang w:val="en-US"/>
          </w:rPr>
          <m:t xml:space="preserve">* 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n-US"/>
              </w:rPr>
              <m:t>0.36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A360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MacFarland 3</m:t>
                </m:r>
              </m:sub>
            </m:sSub>
          </m:den>
        </m:f>
      </m:oMath>
      <w:r>
        <w:rPr>
          <w:i/>
          <w:sz w:val="18"/>
          <w:szCs w:val="18"/>
          <w:lang w:val="en-US"/>
        </w:rPr>
        <w:t>)</w:t>
      </w:r>
    </w:p>
    <w:p>
      <w:pPr>
        <w:pStyle w:val="Listenabsatz"/>
        <w:ind w:left="1710" w:hanging="27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5.4 Samples can be recovered for further preparation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Transfer 20 µg Protein to a </w:t>
      </w:r>
      <w:r>
        <w:rPr>
          <w:b/>
          <w:lang w:val="en-US"/>
        </w:rPr>
        <w:t>PCR-Tube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</w:t>
      </w:r>
      <w:r>
        <w:rPr>
          <w:b/>
          <w:lang w:val="en-US"/>
        </w:rPr>
        <w:t>Sample Dilution Buffer</w:t>
      </w:r>
      <w:r>
        <w:rPr>
          <w:lang w:val="en-US"/>
        </w:rPr>
        <w:t xml:space="preserve"> to a final volume of 50 µL 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10 µL </w:t>
      </w:r>
      <w:r>
        <w:rPr>
          <w:rFonts w:cs="Arial"/>
          <w:b/>
          <w:bCs/>
          <w:lang w:val="en-US"/>
        </w:rPr>
        <w:t xml:space="preserve">Beads </w:t>
      </w:r>
      <w:r>
        <w:rPr>
          <w:rFonts w:cs="Arial"/>
          <w:bCs/>
          <w:lang w:val="en-US"/>
        </w:rPr>
        <w:t xml:space="preserve">and mix by </w:t>
      </w:r>
      <w:proofErr w:type="spellStart"/>
      <w:r>
        <w:rPr>
          <w:rFonts w:cs="Arial"/>
          <w:bCs/>
          <w:lang w:val="en-US"/>
        </w:rPr>
        <w:t>vortexing</w:t>
      </w:r>
      <w:proofErr w:type="spellEnd"/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140 µL</w:t>
      </w:r>
      <w:r>
        <w:rPr>
          <w:b/>
          <w:lang w:val="en-US"/>
        </w:rPr>
        <w:t xml:space="preserve"> Acetonitrile </w:t>
      </w:r>
      <w:r>
        <w:rPr>
          <w:rFonts w:cs="Arial"/>
          <w:bCs/>
          <w:lang w:val="en-US"/>
        </w:rPr>
        <w:t xml:space="preserve">and mix by </w:t>
      </w:r>
      <w:proofErr w:type="spellStart"/>
      <w:r>
        <w:rPr>
          <w:rFonts w:cs="Arial"/>
          <w:bCs/>
          <w:lang w:val="en-US"/>
        </w:rPr>
        <w:t>vortexing</w:t>
      </w:r>
      <w:proofErr w:type="spellEnd"/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Incubate for 10 min off the magnet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Spin down briefly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Place on magnet and incubate for 1 min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and discard supernat</w:t>
      </w:r>
      <w:bookmarkStart w:id="1" w:name="_GoBack"/>
      <w:bookmarkEnd w:id="1"/>
      <w:r>
        <w:rPr>
          <w:lang w:val="en-US"/>
        </w:rPr>
        <w:t>ant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180 </w:t>
      </w:r>
      <w:proofErr w:type="spellStart"/>
      <w:r>
        <w:rPr>
          <w:lang w:val="en-US"/>
        </w:rPr>
        <w:t>μL</w:t>
      </w:r>
      <w:proofErr w:type="spellEnd"/>
      <w:r>
        <w:rPr>
          <w:lang w:val="en-US"/>
        </w:rPr>
        <w:t xml:space="preserve"> </w:t>
      </w:r>
      <w:r>
        <w:rPr>
          <w:b/>
          <w:lang w:val="en-US"/>
        </w:rPr>
        <w:t>80 % Ethanol</w:t>
      </w:r>
      <w:r>
        <w:rPr>
          <w:lang w:val="en-US"/>
        </w:rPr>
        <w:t xml:space="preserve"> on the magnet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and discard supernatant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180 </w:t>
      </w:r>
      <w:proofErr w:type="spellStart"/>
      <w:r>
        <w:rPr>
          <w:lang w:val="en-US"/>
        </w:rPr>
        <w:t>μL</w:t>
      </w:r>
      <w:proofErr w:type="spellEnd"/>
      <w:r>
        <w:rPr>
          <w:lang w:val="en-US"/>
        </w:rPr>
        <w:t xml:space="preserve"> </w:t>
      </w:r>
      <w:r>
        <w:rPr>
          <w:b/>
          <w:lang w:val="en-US"/>
        </w:rPr>
        <w:t>80 % Ethanol</w:t>
      </w:r>
      <w:r>
        <w:rPr>
          <w:lang w:val="en-US"/>
        </w:rPr>
        <w:t xml:space="preserve"> on the magnet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and discard supernatant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180 </w:t>
      </w:r>
      <w:proofErr w:type="spellStart"/>
      <w:r>
        <w:rPr>
          <w:lang w:val="en-US"/>
        </w:rPr>
        <w:t>μL</w:t>
      </w:r>
      <w:proofErr w:type="spellEnd"/>
      <w:r>
        <w:rPr>
          <w:lang w:val="en-US"/>
        </w:rPr>
        <w:t xml:space="preserve"> </w:t>
      </w:r>
      <w:r>
        <w:rPr>
          <w:b/>
          <w:lang w:val="en-US"/>
        </w:rPr>
        <w:t>Acetonitrile</w:t>
      </w:r>
      <w:r>
        <w:rPr>
          <w:lang w:val="en-US"/>
        </w:rPr>
        <w:t xml:space="preserve"> on the magnet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and discard supernatant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40 µL </w:t>
      </w:r>
      <w:r>
        <w:rPr>
          <w:b/>
          <w:lang w:val="en-US"/>
        </w:rPr>
        <w:t xml:space="preserve">Digestion Buffer </w:t>
      </w:r>
      <w:r>
        <w:rPr>
          <w:lang w:val="en-US"/>
        </w:rPr>
        <w:t xml:space="preserve">including 2 µg </w:t>
      </w:r>
      <w:r>
        <w:rPr>
          <w:b/>
          <w:lang w:val="en-US"/>
        </w:rPr>
        <w:t xml:space="preserve">Trypsin 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rFonts w:cs="Arial"/>
          <w:bCs/>
          <w:lang w:val="en-US"/>
        </w:rPr>
        <w:t xml:space="preserve">Mix by </w:t>
      </w:r>
      <w:proofErr w:type="spellStart"/>
      <w:r>
        <w:rPr>
          <w:rFonts w:cs="Arial"/>
          <w:bCs/>
          <w:lang w:val="en-US"/>
        </w:rPr>
        <w:t>vortexing</w:t>
      </w:r>
      <w:proofErr w:type="spellEnd"/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Spin down briefly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Incubate at 37°C and 1000 rpm for 4 h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3 µL </w:t>
      </w:r>
      <w:r>
        <w:rPr>
          <w:b/>
          <w:lang w:val="en-US"/>
        </w:rPr>
        <w:t>10 % TFA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Mix extensively by </w:t>
      </w:r>
      <w:proofErr w:type="spellStart"/>
      <w:r>
        <w:rPr>
          <w:lang w:val="en-US"/>
        </w:rPr>
        <w:t>vortexing</w:t>
      </w:r>
      <w:proofErr w:type="spellEnd"/>
      <w:r>
        <w:rPr>
          <w:lang w:val="en-US"/>
        </w:rPr>
        <w:t xml:space="preserve"> and spin down briefly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Place on a magnet and incubate for 1 min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supernatant in a new PCR stripe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Place on a magnet and incubate for 1 min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supernatant in a new PCR stripe</w:t>
      </w:r>
    </w:p>
    <w:p>
      <w:pPr>
        <w:pStyle w:val="Listenabsatz"/>
        <w:rPr>
          <w:i/>
          <w:sz w:val="18"/>
          <w:szCs w:val="18"/>
          <w:lang w:val="en-US"/>
        </w:rPr>
      </w:pPr>
      <w:r>
        <w:rPr>
          <w:i/>
          <w:sz w:val="18"/>
          <w:szCs w:val="18"/>
          <w:lang w:val="en-US"/>
        </w:rPr>
        <w:t>Samples must be free of beads!</w:t>
      </w:r>
    </w:p>
    <w:p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Store samples at – 20°C</w:t>
      </w:r>
    </w:p>
    <w:p>
      <w:pPr>
        <w:pStyle w:val="Listenabsatz"/>
        <w:rPr>
          <w:i/>
          <w:sz w:val="18"/>
          <w:szCs w:val="18"/>
          <w:lang w:val="en-US"/>
        </w:rPr>
      </w:pPr>
    </w:p>
    <w:p>
      <w:pPr>
        <w:pStyle w:val="Listenabsatz"/>
        <w:rPr>
          <w:lang w:val="en-US"/>
        </w:rPr>
      </w:pPr>
      <w:r>
        <w:rPr>
          <w:i/>
          <w:sz w:val="18"/>
          <w:szCs w:val="18"/>
          <w:lang w:val="en-US"/>
        </w:rPr>
        <w:t xml:space="preserve"> </w:t>
      </w:r>
    </w:p>
    <w:p>
      <w:pPr>
        <w:pStyle w:val="Listenabsatz"/>
        <w:rPr>
          <w:lang w:val="en-US"/>
        </w:rPr>
      </w:pPr>
    </w:p>
    <w:p>
      <w:pPr>
        <w:spacing w:after="0" w:line="240" w:lineRule="auto"/>
        <w:rPr>
          <w:lang w:val="en-US"/>
        </w:rPr>
      </w:pPr>
    </w:p>
    <w:sectPr>
      <w:footerReference w:type="default" r:id="rId8"/>
      <w:pgSz w:w="11906" w:h="16838"/>
      <w:pgMar w:top="1417" w:right="1417" w:bottom="99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3497683"/>
      <w:docPartObj>
        <w:docPartGallery w:val="Page Numbers (Bottom of Page)"/>
        <w:docPartUnique/>
      </w:docPartObj>
    </w:sdtPr>
    <w:sdtContent>
      <w:p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565F1"/>
    <w:multiLevelType w:val="hybridMultilevel"/>
    <w:tmpl w:val="BA945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B183B"/>
    <w:multiLevelType w:val="hybridMultilevel"/>
    <w:tmpl w:val="9DD2F2D0"/>
    <w:lvl w:ilvl="0" w:tplc="A1909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FC00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9001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CC8A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06C4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BA17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20A7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507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04DF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97424A5"/>
    <w:multiLevelType w:val="hybridMultilevel"/>
    <w:tmpl w:val="FFD2C8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16DE47-D270-4D92-851F-AB7CD03B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rFonts w:eastAsiaTheme="minorEastAsia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Pr>
      <w:rFonts w:eastAsiaTheme="minorEastAsia"/>
      <w:lang w:eastAsia="de-DE"/>
    </w:rPr>
  </w:style>
  <w:style w:type="paragraph" w:customStyle="1" w:styleId="EndNoteBibliography">
    <w:name w:val="EndNote Bibliography"/>
    <w:basedOn w:val="Standard"/>
    <w:link w:val="EndNoteBibliographyZchn"/>
    <w:pPr>
      <w:spacing w:line="240" w:lineRule="auto"/>
    </w:pPr>
    <w:rPr>
      <w:rFonts w:ascii="Calibri" w:hAnsi="Calibri"/>
      <w:noProof/>
      <w:lang w:val="en-US"/>
    </w:rPr>
  </w:style>
  <w:style w:type="character" w:customStyle="1" w:styleId="EndNoteBibliographyZchn">
    <w:name w:val="EndNote Bibliography Zchn"/>
    <w:basedOn w:val="Absatz-Standardschriftart"/>
    <w:link w:val="EndNoteBibliography"/>
    <w:rPr>
      <w:rFonts w:ascii="Calibri" w:eastAsiaTheme="minorEastAsia" w:hAnsi="Calibri"/>
      <w:noProof/>
      <w:lang w:val="en-US" w:eastAsia="de-DE"/>
    </w:rPr>
  </w:style>
  <w:style w:type="paragraph" w:styleId="Listenabsatz">
    <w:name w:val="List Paragraph"/>
    <w:basedOn w:val="Standard"/>
    <w:uiPriority w:val="34"/>
    <w:qFormat/>
    <w:pPr>
      <w:spacing w:after="160" w:line="259" w:lineRule="auto"/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Pr>
      <w:color w:val="0000FF" w:themeColor="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rFonts w:eastAsiaTheme="minorEastAsia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rFonts w:eastAsiaTheme="minorEastAsia"/>
      <w:b/>
      <w:bCs/>
      <w:sz w:val="20"/>
      <w:szCs w:val="2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eastAsiaTheme="minorEastAsia" w:hAnsi="Tahoma" w:cs="Tahoma"/>
      <w:sz w:val="16"/>
      <w:szCs w:val="1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12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500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C2080-2560-46E5-B14D-629CD2E86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Robert Koch-Institut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Döllinger, Jörg</dc:creator>
  <cp:lastModifiedBy>Winkler, Madita</cp:lastModifiedBy>
  <cp:revision>4</cp:revision>
  <cp:lastPrinted>2024-06-19T05:56:00Z</cp:lastPrinted>
  <dcterms:created xsi:type="dcterms:W3CDTF">2024-06-19T05:57:00Z</dcterms:created>
  <dcterms:modified xsi:type="dcterms:W3CDTF">2024-10-15T14:45:00Z</dcterms:modified>
</cp:coreProperties>
</file>