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Xcb5191e87c9ef8451df87cd57a4108698fff98c"/>
    <w:p>
      <w:pPr>
        <w:pStyle w:val="Heading1"/>
      </w:pPr>
      <w:r>
        <w:t xml:space="preserve">A Goldilocks Principle for the Gut Microbiome: Taxonomic</w:t>
      </w:r>
      <w:r>
        <w:t xml:space="preserve"> </w:t>
      </w:r>
      <w:r>
        <w:t xml:space="preserve">Resolution Matters for Microbiome-Based Classification of Colorectal</w:t>
      </w:r>
      <w:r>
        <w:t xml:space="preserve"> </w:t>
      </w:r>
      <w:r>
        <w:t xml:space="preserve">Cancer</w:t>
      </w:r>
    </w:p>
    <w:p>
      <w:pPr>
        <w:pStyle w:val="FirstParagraph"/>
      </w:pPr>
      <w:r>
        <w:rPr>
          <w:bCs/>
          <w:b/>
        </w:rPr>
        <w:t xml:space="preserve">Running title:</w:t>
      </w:r>
      <w:r>
        <w:t xml:space="preserve"> </w:t>
      </w:r>
      <w:r>
        <w:t xml:space="preserve">A Goldilocks Principle for the Gut Microbiome</w:t>
      </w:r>
    </w:p>
    <w:p>
      <w:pPr>
        <w:pStyle w:val="BodyText"/>
      </w:pPr>
      <w:r>
        <w:t xml:space="preserve">Courtney R. Armour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Begüm D. Topçuoğlu</w:t>
      </w:r>
      <m:oMath>
        <m:sSup>
          <m:e>
            <m:r>
              <m:t>​</m:t>
            </m:r>
          </m:e>
          <m:sup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#</m:t>
            </m:r>
          </m:sup>
        </m:sSup>
      </m:oMath>
      <w:r>
        <w:t xml:space="preserve">, Andrea</w:t>
      </w:r>
      <w:r>
        <w:t xml:space="preserve"> </w:t>
      </w:r>
      <w:r>
        <w:t xml:space="preserve">Garretto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Patrick D. Schloss</w:t>
      </w:r>
      <w:r>
        <w:t xml:space="preserve"> 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m:oMath>
        <m:sSup>
          <m:e>
            <m:r>
              <m:t>​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Department of Microbiology and Immunology, University of</w:t>
      </w:r>
      <w:r>
        <w:t xml:space="preserve"> </w:t>
      </w:r>
      <w:r>
        <w:t xml:space="preserve">Michigan, Ann Arbor MI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rPr>
                <m:sty m:val="p"/>
              </m:rPr>
              <m:t>#</m:t>
            </m:r>
          </m:sup>
        </m:sSup>
      </m:oMath>
      <w:r>
        <w:t xml:space="preserve"> </w:t>
      </w:r>
      <w:r>
        <w:t xml:space="preserve">Current Affiliation: Bristol Myers Squibb, Summit, New Jersey,</w:t>
      </w:r>
      <w:r>
        <w:t xml:space="preserve"> </w:t>
      </w:r>
      <w:r>
        <w:t xml:space="preserve">USA 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Correspondence: Patrick D. Schloss</w:t>
      </w:r>
      <w:r>
        <w:t xml:space="preserve"> </w:t>
      </w:r>
      <w:hyperlink r:id="rId20">
        <w:r>
          <w:rPr>
            <w:rStyle w:val="Hyperlink"/>
          </w:rPr>
          <w:t xml:space="preserve">pschloss@umich.edu</w:t>
        </w:r>
      </w:hyperlink>
    </w:p>
    <w:p>
      <w:pPr>
        <w:pStyle w:val="BodyText"/>
      </w:pPr>
      <w:r>
        <w:rPr>
          <w:bCs/>
          <w:b/>
        </w:rPr>
        <w:t xml:space="preserve">observation format</w:t>
      </w:r>
    </w:p>
    <w:bookmarkStart w:id="21" w:name="abstract"/>
    <w:p>
      <w:pPr>
        <w:pStyle w:val="Heading3"/>
      </w:pPr>
      <w:r>
        <w:t xml:space="preserve">Abstract</w:t>
      </w:r>
    </w:p>
    <w:bookmarkEnd w:id="21"/>
    <w:p>
      <w:pPr>
        <w:pStyle w:val="FirstParagraph"/>
      </w:pPr>
      <w:r>
        <w:t xml:space="preserve">Colorectal cancer is a common and deadly disease in the United States</w:t>
      </w:r>
      <w:r>
        <w:t xml:space="preserve"> </w:t>
      </w:r>
      <w:r>
        <w:t xml:space="preserve">accounting for over 50,000 deaths in 2020. This progressive disease is</w:t>
      </w:r>
      <w:r>
        <w:t xml:space="preserve"> </w:t>
      </w:r>
      <w:r>
        <w:t xml:space="preserve">highly preventable with early detection and treatment, but many people</w:t>
      </w:r>
      <w:r>
        <w:t xml:space="preserve"> </w:t>
      </w:r>
      <w:r>
        <w:t xml:space="preserve">do not comply with the recommended screening guidelines. The gut</w:t>
      </w:r>
      <w:r>
        <w:t xml:space="preserve"> </w:t>
      </w:r>
      <w:r>
        <w:t xml:space="preserve">microbiome has emerged as a promising target for non-invasive detection</w:t>
      </w:r>
      <w:r>
        <w:t xml:space="preserve"> </w:t>
      </w:r>
      <w:r>
        <w:t xml:space="preserve">of colorectal cancer. Most microbiome-based classification efforts</w:t>
      </w:r>
      <w:r>
        <w:t xml:space="preserve"> </w:t>
      </w:r>
      <w:r>
        <w:t xml:space="preserve">utilize taxonomic abundance data from operational taxonomic units (OTUs)</w:t>
      </w:r>
      <w:r>
        <w:t xml:space="preserve"> </w:t>
      </w:r>
      <w:r>
        <w:t xml:space="preserve">or amplicon sequence variants (ASVs) with the goal of increasing</w:t>
      </w:r>
      <w:r>
        <w:t xml:space="preserve"> </w:t>
      </w:r>
      <w:r>
        <w:t xml:space="preserve">taxonomic resolution. However, it is unknown which taxonomic resolution</w:t>
      </w:r>
      <w:r>
        <w:t xml:space="preserve"> </w:t>
      </w:r>
      <w:r>
        <w:t xml:space="preserve">is optimal for microbiome-based classification of colorectal cancer. To</w:t>
      </w:r>
      <w:r>
        <w:t xml:space="preserve"> </w:t>
      </w:r>
      <w:r>
        <w:t xml:space="preserve">address this question, we used a reproducible machine learning framework</w:t>
      </w:r>
      <w:r>
        <w:t xml:space="preserve"> </w:t>
      </w:r>
      <w:r>
        <w:t xml:space="preserve">to quantify classification performance of models based on data annotated</w:t>
      </w:r>
      <w:r>
        <w:t xml:space="preserve"> </w:t>
      </w:r>
      <w:r>
        <w:t xml:space="preserve">to phylum, class, order, family, genus, OTU, and ASV levels. We found</w:t>
      </w:r>
      <w:r>
        <w:t xml:space="preserve"> </w:t>
      </w:r>
      <w:r>
        <w:t xml:space="preserve">that model performance increased with increasing taxonomic resolution,</w:t>
      </w:r>
      <w:r>
        <w:t xml:space="preserve"> </w:t>
      </w:r>
      <w:r>
        <w:t xml:space="preserve">up to the family level where performance was equal (p &gt;</w:t>
      </w:r>
      <w:r>
        <w:t xml:space="preserve"> </w:t>
      </w:r>
      <w:r>
        <w:t xml:space="preserve">0.05) among family (mean AUC: 0.689), genus (mean AUC: 0.690), and OTU</w:t>
      </w:r>
      <w:r>
        <w:t xml:space="preserve"> </w:t>
      </w:r>
      <w:r>
        <w:t xml:space="preserve">(mean AUC: 0.693) levels before decreasing at the ASV level (p</w:t>
      </w:r>
      <w:r>
        <w:t xml:space="preserve"> </w:t>
      </w:r>
      <w:r>
        <w:t xml:space="preserve">&lt; 0.05, mean AUC: 0.676). These results demonstrate a</w:t>
      </w:r>
      <w:r>
        <w:t xml:space="preserve"> </w:t>
      </w:r>
      <w:r>
        <w:t xml:space="preserve">trade-off between taxonomic resolution and prediction performance, where</w:t>
      </w:r>
      <w:r>
        <w:t xml:space="preserve"> </w:t>
      </w:r>
      <w:r>
        <w:t xml:space="preserve">coarse taxonomic resolution (e.g. phylum) is not distinct enough but</w:t>
      </w:r>
      <w:r>
        <w:t xml:space="preserve"> </w:t>
      </w:r>
      <w:r>
        <w:t xml:space="preserve">fine resolution (e.g. ASV) is to individualized to accurately classify</w:t>
      </w:r>
      <w:r>
        <w:t xml:space="preserve"> </w:t>
      </w:r>
      <w:r>
        <w:t xml:space="preserve">samples. Similar to the story of Goldilocks and the three bears,</w:t>
      </w:r>
      <w:r>
        <w:t xml:space="preserve"> </w:t>
      </w:r>
      <w:r>
        <w:t xml:space="preserve">mid-range resolution (i.e. family, genus, and OTU) is just right for</w:t>
      </w:r>
      <w:r>
        <w:t xml:space="preserve"> </w:t>
      </w:r>
      <w:r>
        <w:t xml:space="preserve">optimal prediction of colorectal cancer from microbiome data.</w:t>
      </w:r>
    </w:p>
    <w:bookmarkStart w:id="22" w:name="importance"/>
    <w:p>
      <w:pPr>
        <w:pStyle w:val="Heading3"/>
      </w:pPr>
      <w:r>
        <w:t xml:space="preserve">Importance</w:t>
      </w:r>
    </w:p>
    <w:bookmarkEnd w:id="22"/>
    <w:p>
      <w:pPr>
        <w:pStyle w:val="FirstParagraph"/>
      </w:pPr>
      <w:r>
        <w:t xml:space="preserve">Despite being highly preventable, colorectal cancer remains a leading</w:t>
      </w:r>
      <w:r>
        <w:t xml:space="preserve"> </w:t>
      </w:r>
      <w:r>
        <w:t xml:space="preserve">cause of cancer related death in the United States. Low-cost,</w:t>
      </w:r>
      <w:r>
        <w:t xml:space="preserve"> </w:t>
      </w:r>
      <w:r>
        <w:t xml:space="preserve">non-invasive detection methods could greatly improve our ability to</w:t>
      </w:r>
      <w:r>
        <w:t xml:space="preserve"> </w:t>
      </w:r>
      <w:r>
        <w:t xml:space="preserve">identify and treat early stages of disease. The microbiome has shown</w:t>
      </w:r>
      <w:r>
        <w:t xml:space="preserve"> </w:t>
      </w:r>
      <w:r>
        <w:t xml:space="preserve">promise as a resource for detection of colorectal cancer. Research on</w:t>
      </w:r>
      <w:r>
        <w:t xml:space="preserve"> </w:t>
      </w:r>
      <w:r>
        <w:t xml:space="preserve">the gut microbiome tends to focus on improving our ability to profile</w:t>
      </w:r>
      <w:r>
        <w:t xml:space="preserve"> </w:t>
      </w:r>
      <w:r>
        <w:t xml:space="preserve">species and strain level taxonomic resolution. However, we found that</w:t>
      </w:r>
      <w:r>
        <w:t xml:space="preserve"> </w:t>
      </w:r>
      <w:r>
        <w:t xml:space="preserve">finer resolution impedes the ability to predict colorectal cancer based</w:t>
      </w:r>
      <w:r>
        <w:t xml:space="preserve"> </w:t>
      </w:r>
      <w:r>
        <w:t xml:space="preserve">on the gut microbiome. These results highlight the need for</w:t>
      </w:r>
      <w:r>
        <w:t xml:space="preserve"> </w:t>
      </w:r>
      <w:r>
        <w:t xml:space="preserve">consideration of the appropriate taxonomic resolution for microbiome</w:t>
      </w:r>
      <w:r>
        <w:t xml:space="preserve"> </w:t>
      </w:r>
      <w:r>
        <w:t xml:space="preserve">analyses and that finer resolution is not always more informative.</w:t>
      </w:r>
    </w:p>
    <w:p>
      <w:pPr>
        <w:pStyle w:val="BodyText"/>
      </w:pPr>
      <w:r>
        <w:t xml:space="preserve">Colorectal cancer is one of the most common cancers in men and women and</w:t>
      </w:r>
      <w:r>
        <w:t xml:space="preserve"> </w:t>
      </w:r>
      <w:r>
        <w:t xml:space="preserve">a leading cause of cancer related deaths in the United States (1). Early</w:t>
      </w:r>
      <w:r>
        <w:t xml:space="preserve"> </w:t>
      </w:r>
      <w:r>
        <w:t xml:space="preserve">detection and treatment are essential to increase survival rates, but</w:t>
      </w:r>
      <w:r>
        <w:t xml:space="preserve"> </w:t>
      </w:r>
      <w:r>
        <w:t xml:space="preserve">for reasons such as invasiveness and high screening costs</w:t>
      </w:r>
      <w:r>
        <w:t xml:space="preserve"> </w:t>
      </w:r>
      <w:r>
        <w:t xml:space="preserve">(i.e. colonoscopy), many people do not comply with recommended screening</w:t>
      </w:r>
      <w:r>
        <w:t xml:space="preserve"> </w:t>
      </w:r>
      <w:r>
        <w:t xml:space="preserve">guidelines (2). This prompts a need for low cost, non-invasive detection</w:t>
      </w:r>
      <w:r>
        <w:t xml:space="preserve"> </w:t>
      </w:r>
      <w:r>
        <w:t xml:space="preserve">methods. A growing body of research points to the gut microbiome as a</w:t>
      </w:r>
      <w:r>
        <w:t xml:space="preserve"> </w:t>
      </w:r>
      <w:r>
        <w:t xml:space="preserve">promising target for non-invasive detection of screen relevant neoplasia</w:t>
      </w:r>
      <w:r>
        <w:t xml:space="preserve"> </w:t>
      </w:r>
      <w:r>
        <w:t xml:space="preserve">(SRNs) consisting of advanced adenomas and carcinomas (3, 4). The</w:t>
      </w:r>
      <w:r>
        <w:t xml:space="preserve"> </w:t>
      </w:r>
      <w:r>
        <w:t xml:space="preserve">diagnostic potential of the gut microbiome in detecting SRNs has been</w:t>
      </w:r>
      <w:r>
        <w:t xml:space="preserve"> </w:t>
      </w:r>
      <w:r>
        <w:t xml:space="preserve">explored through machine learning (ML) methods using abundances of</w:t>
      </w:r>
      <w:r>
        <w:t xml:space="preserve"> </w:t>
      </w:r>
      <w:r>
        <w:t xml:space="preserve">operational taxonomic unit (OTU) classifications based on amplicon</w:t>
      </w:r>
      <w:r>
        <w:t xml:space="preserve"> </w:t>
      </w:r>
      <w:r>
        <w:t xml:space="preserve">sequencing of the 16S rRNA gene (3). Recent work has pushed for the use</w:t>
      </w:r>
      <w:r>
        <w:t xml:space="preserve"> </w:t>
      </w:r>
      <w:r>
        <w:t xml:space="preserve">of amplicon sequence variants (ASVs) to replace OTUs for marker-gene</w:t>
      </w:r>
      <w:r>
        <w:t xml:space="preserve"> </w:t>
      </w:r>
      <w:r>
        <w:t xml:space="preserve">analysis because of the improved resolution with ASVs (5). However, it</w:t>
      </w:r>
      <w:r>
        <w:t xml:space="preserve"> </w:t>
      </w:r>
      <w:r>
        <w:t xml:space="preserve">is unclear if OTUs are the optimal taxonomic resolution for classifying</w:t>
      </w:r>
      <w:r>
        <w:t xml:space="preserve"> </w:t>
      </w:r>
      <w:r>
        <w:t xml:space="preserve">SRNs from microbiome data or whether the additional resolution provided</w:t>
      </w:r>
      <w:r>
        <w:t xml:space="preserve"> </w:t>
      </w:r>
      <w:r>
        <w:t xml:space="preserve">by ASVs is useful for ML classification. Topçuoğlu</w:t>
      </w:r>
      <w:r>
        <w:t xml:space="preserve"> </w:t>
      </w:r>
      <w:r>
        <w:rPr>
          <w:iCs/>
          <w:i/>
        </w:rPr>
        <w:t xml:space="preserve">et al</w:t>
      </w:r>
      <w:r>
        <w:t xml:space="preserve"> </w:t>
      </w:r>
      <w:r>
        <w:t xml:space="preserve">(6)</w:t>
      </w:r>
      <w:r>
        <w:t xml:space="preserve"> </w:t>
      </w:r>
      <w:r>
        <w:t xml:space="preserve">recently demonstrated how to effectively apply machine learning (ML)</w:t>
      </w:r>
      <w:r>
        <w:t xml:space="preserve"> </w:t>
      </w:r>
      <w:r>
        <w:t xml:space="preserve">methods to microbiome based classification problems and developed a</w:t>
      </w:r>
      <w:r>
        <w:t xml:space="preserve"> </w:t>
      </w:r>
      <w:r>
        <w:t xml:space="preserve">framework for applying ML practices in a more reproducible way. This</w:t>
      </w:r>
      <w:r>
        <w:t xml:space="preserve"> </w:t>
      </w:r>
      <w:r>
        <w:t xml:space="preserve">analysis utilizes the reproducible framework developed by Topçuoğlu</w:t>
      </w:r>
      <w:r>
        <w:t xml:space="preserve"> </w:t>
      </w:r>
      <w:r>
        <w:rPr>
          <w:iCs/>
          <w:i/>
        </w:rPr>
        <w:t xml:space="preserve">et al</w:t>
      </w:r>
      <w:r>
        <w:t xml:space="preserve"> </w:t>
      </w:r>
      <w:r>
        <w:t xml:space="preserve">to determine which ML method and taxonomic level produce</w:t>
      </w:r>
      <w:r>
        <w:t xml:space="preserve"> </w:t>
      </w:r>
      <w:r>
        <w:t xml:space="preserve">the best performing classifier for detecting SRNs from microbiome data.</w:t>
      </w:r>
    </w:p>
    <w:p>
      <w:pPr>
        <w:pStyle w:val="BodyText"/>
      </w:pPr>
      <w:r>
        <w:t xml:space="preserve">Utilizing publicly available 16S rRNA sequence data from stool of</w:t>
      </w:r>
      <w:r>
        <w:t xml:space="preserve"> </w:t>
      </w:r>
      <w:r>
        <w:t xml:space="preserve">patients with SRNs and healthy controls, we generated taxonomic</w:t>
      </w:r>
      <w:r>
        <w:t xml:space="preserve"> </w:t>
      </w:r>
      <w:r>
        <w:t xml:space="preserve">abundance tables with mothur (7) annotated to phylum, class, order,</w:t>
      </w:r>
      <w:r>
        <w:t xml:space="preserve"> </w:t>
      </w:r>
      <w:r>
        <w:t xml:space="preserve">family, genus, OTU and ASV levels. Using the taxonomic abundance data</w:t>
      </w:r>
      <w:r>
        <w:t xml:space="preserve"> </w:t>
      </w:r>
      <w:r>
        <w:t xml:space="preserve">and the mikropml R package (8), we quantified how reliably samples could</w:t>
      </w:r>
      <w:r>
        <w:t xml:space="preserve"> </w:t>
      </w:r>
      <w:r>
        <w:t xml:space="preserve">be classified as SRN or normal using five machine learning methods</w:t>
      </w:r>
      <w:r>
        <w:t xml:space="preserve"> </w:t>
      </w:r>
      <w:r>
        <w:t xml:space="preserve">including random forest, L2-regularized logistic regression, decision</w:t>
      </w:r>
      <w:r>
        <w:t xml:space="preserve"> </w:t>
      </w:r>
      <w:r>
        <w:t xml:space="preserve">tree, gradient boosted trees (XGBoost), and support vector machine with</w:t>
      </w:r>
      <w:r>
        <w:t xml:space="preserve"> </w:t>
      </w:r>
      <w:r>
        <w:t xml:space="preserve">radial basis kernel (SVM radial). Across the five machine learning</w:t>
      </w:r>
      <w:r>
        <w:t xml:space="preserve"> </w:t>
      </w:r>
      <w:r>
        <w:t xml:space="preserve">methods tested, model performance increased with increasing taxonomic</w:t>
      </w:r>
      <w:r>
        <w:t xml:space="preserve"> </w:t>
      </w:r>
      <w:r>
        <w:t xml:space="preserve">level usually peaking around genus/OTU level before dropping off</w:t>
      </w:r>
      <w:r>
        <w:t xml:space="preserve"> </w:t>
      </w:r>
      <w:r>
        <w:t xml:space="preserve">slightly with ASVs (Supplemental Figure 1). Regardless of the taxonomic</w:t>
      </w:r>
      <w:r>
        <w:t xml:space="preserve"> </w:t>
      </w:r>
      <w:r>
        <w:t xml:space="preserve">level, random forest (RF) models consistently had the largest area under</w:t>
      </w:r>
      <w:r>
        <w:t xml:space="preserve"> </w:t>
      </w:r>
      <w:r>
        <w:t xml:space="preserve">the receiver operating characteristic curve (AUROC). Within the RF</w:t>
      </w:r>
      <w:r>
        <w:t xml:space="preserve"> </w:t>
      </w:r>
      <w:r>
        <w:t xml:space="preserve">model, the highest AUROCs were observed for family (mean AUROC: 0.689),</w:t>
      </w:r>
      <w:r>
        <w:t xml:space="preserve"> </w:t>
      </w:r>
      <w:r>
        <w:t xml:space="preserve">genus (mean AUROC: 0.690), and OTU (mean AUROC: 0.693) level data with</w:t>
      </w:r>
      <w:r>
        <w:t xml:space="preserve"> </w:t>
      </w:r>
      <w:r>
        <w:t xml:space="preserve">no significant difference between the three (p &gt; 0.05,</w:t>
      </w:r>
      <w:r>
        <w:t xml:space="preserve"> </w:t>
      </w:r>
      <w:r>
        <w:t xml:space="preserve">Figure 1A, Supplemental Figure 2). Performance with ASVs (mean AUROC:</w:t>
      </w:r>
      <w:r>
        <w:t xml:space="preserve"> </w:t>
      </w:r>
      <w:r>
        <w:t xml:space="preserve">0.676) was significantly lower than OTUs (p &lt; 0.01), but</w:t>
      </w:r>
      <w:r>
        <w:t xml:space="preserve"> </w:t>
      </w:r>
      <w:r>
        <w:t xml:space="preserve">comparable to family (p = 0.06) and genus (p = 0.05) levels (Figure 1A).</w:t>
      </w:r>
      <w:r>
        <w:t xml:space="preserve"> </w:t>
      </w:r>
      <w:r>
        <w:t xml:space="preserve">These results suggest that increased resolution improves model</w:t>
      </w:r>
      <w:r>
        <w:t xml:space="preserve"> </w:t>
      </w:r>
      <w:r>
        <w:t xml:space="preserve">performance up to the OTU level where further taxonomic resolution is</w:t>
      </w:r>
      <w:r>
        <w:t xml:space="preserve"> </w:t>
      </w:r>
      <w:r>
        <w:t xml:space="preserve">not necessarily better for identifying individuals with SRNs based on</w:t>
      </w:r>
      <w:r>
        <w:t xml:space="preserve"> </w:t>
      </w:r>
      <w:r>
        <w:t xml:space="preserve">microbiome composition.</w:t>
      </w:r>
    </w:p>
    <w:p>
      <w:pPr>
        <w:pStyle w:val="BodyText"/>
      </w:pPr>
      <w:r>
        <w:t xml:space="preserve">While comparing AUROC values between models is a useful way to assess</w:t>
      </w:r>
      <w:r>
        <w:t xml:space="preserve"> </w:t>
      </w:r>
      <w:r>
        <w:t xml:space="preserve">the overall model performance, they summarize the performance across all</w:t>
      </w:r>
      <w:r>
        <w:t xml:space="preserve"> </w:t>
      </w:r>
      <w:r>
        <w:t xml:space="preserve">thresholds and can be misleading since models with the same AUROC can</w:t>
      </w:r>
      <w:r>
        <w:t xml:space="preserve"> </w:t>
      </w:r>
      <w:r>
        <w:t xml:space="preserve">have different ROC curve shapes (9). Depending on the intended</w:t>
      </w:r>
      <w:r>
        <w:t xml:space="preserve"> </w:t>
      </w:r>
      <w:r>
        <w:t xml:space="preserve">implementation of the model, one may want to optimize the sensitivity</w:t>
      </w:r>
      <w:r>
        <w:t xml:space="preserve"> </w:t>
      </w:r>
      <w:r>
        <w:t xml:space="preserve">over the specificity or vice versa. In this case, the optimal model will</w:t>
      </w:r>
      <w:r>
        <w:t xml:space="preserve"> </w:t>
      </w:r>
      <w:r>
        <w:t xml:space="preserve">detect as many true positives (people with SRNs) as possible. To further</w:t>
      </w:r>
      <w:r>
        <w:t xml:space="preserve"> </w:t>
      </w:r>
      <w:r>
        <w:t xml:space="preserve">compare the model performance across taxonomic levels we compared the</w:t>
      </w:r>
      <w:r>
        <w:t xml:space="preserve"> </w:t>
      </w:r>
      <w:r>
        <w:t xml:space="preserve">sensitivity of the models at a specificity of 90%. The highest</w:t>
      </w:r>
      <w:r>
        <w:t xml:space="preserve"> </w:t>
      </w:r>
      <w:r>
        <w:t xml:space="preserve">sensitivity values were observed for family (mean sensitivity: 0.38),</w:t>
      </w:r>
      <w:r>
        <w:t xml:space="preserve"> </w:t>
      </w:r>
      <w:r>
        <w:t xml:space="preserve">genus (mean sensitivity: 0.39), and OTU (mean sensitivity: 0.37) level</w:t>
      </w:r>
      <w:r>
        <w:t xml:space="preserve"> </w:t>
      </w:r>
      <w:r>
        <w:t xml:space="preserve">data (p &gt; 0.05, Figure 1B), consistent with the AUROC</w:t>
      </w:r>
      <w:r>
        <w:t xml:space="preserve"> </w:t>
      </w:r>
      <w:r>
        <w:t xml:space="preserve">results. Phylum (mean sensitivity: 0.21), class (mean sensitivity:</w:t>
      </w:r>
      <w:r>
        <w:t xml:space="preserve"> </w:t>
      </w:r>
      <w:r>
        <w:t xml:space="preserve">0.22), order (mean sensitivity: 0.28), and ASV (mean sensitivity: 0.32)</w:t>
      </w:r>
      <w:r>
        <w:t xml:space="preserve"> </w:t>
      </w:r>
      <w:r>
        <w:t xml:space="preserve">sensitivity values were all significantly lower than family, genus, and</w:t>
      </w:r>
      <w:r>
        <w:t xml:space="preserve"> </w:t>
      </w:r>
      <w:r>
        <w:t xml:space="preserve">OTU sensitivity values (p &lt; 0.05,Figure 1B). This analysis</w:t>
      </w:r>
      <w:r>
        <w:t xml:space="preserve"> </w:t>
      </w:r>
      <w:r>
        <w:t xml:space="preserve">further supports the observation that finer resolution does not improve</w:t>
      </w:r>
      <w:r>
        <w:t xml:space="preserve"> </w:t>
      </w:r>
      <w:r>
        <w:t xml:space="preserve">SRN detection.</w:t>
      </w:r>
    </w:p>
    <w:p>
      <w:pPr>
        <w:pStyle w:val="BodyText"/>
      </w:pPr>
      <w:r>
        <w:t xml:space="preserve">One hypothesis for the observation that model performance increases from</w:t>
      </w:r>
      <w:r>
        <w:t xml:space="preserve"> </w:t>
      </w:r>
      <w:r>
        <w:t xml:space="preserve">phylum to OTU level then drops at the ASV level is that at higher</w:t>
      </w:r>
      <w:r>
        <w:t xml:space="preserve"> </w:t>
      </w:r>
      <w:r>
        <w:t xml:space="preserve">taxonomic levels (e.g. phylum) there are too few taxa and too much</w:t>
      </w:r>
      <w:r>
        <w:t xml:space="preserve"> </w:t>
      </w:r>
      <w:r>
        <w:t xml:space="preserve">overlap to reliably differentiate between cases and controls. At the</w:t>
      </w:r>
      <w:r>
        <w:t xml:space="preserve"> </w:t>
      </w:r>
      <w:r>
        <w:t xml:space="preserve">level of genus or OTU there is enough data and variation but at the ASV</w:t>
      </w:r>
      <w:r>
        <w:t xml:space="preserve"> </w:t>
      </w:r>
      <w:r>
        <w:t xml:space="preserve">level, the data is too specific to individuals and does not overlap</w:t>
      </w:r>
      <w:r>
        <w:t xml:space="preserve"> </w:t>
      </w:r>
      <w:r>
        <w:t xml:space="preserve">enough. Examination of the prevalence of taxa in samples at each level</w:t>
      </w:r>
      <w:r>
        <w:t xml:space="preserve"> </w:t>
      </w:r>
      <w:r>
        <w:t xml:space="preserve">supports this idea. A majority of taxa were present in greater than 70%</w:t>
      </w:r>
      <w:r>
        <w:t xml:space="preserve"> </w:t>
      </w:r>
      <w:r>
        <w:t xml:space="preserve">of samples at the phylum (67% of taxa) and class (63% of taxa) levels.</w:t>
      </w:r>
      <w:r>
        <w:t xml:space="preserve"> </w:t>
      </w:r>
      <w:r>
        <w:t xml:space="preserve">The opposite was observed at the OTU and ASV level where 50% and 41%</w:t>
      </w:r>
      <w:r>
        <w:t xml:space="preserve"> </w:t>
      </w:r>
      <w:r>
        <w:t xml:space="preserve">of taxa, respectively, were only present in 20% or less of the samples</w:t>
      </w:r>
      <w:r>
        <w:t xml:space="preserve"> </w:t>
      </w:r>
      <w:r>
        <w:t xml:space="preserve">(Supplemental Figure 3). Of note, the ML pipeline includes a</w:t>
      </w:r>
      <w:r>
        <w:t xml:space="preserve"> </w:t>
      </w:r>
      <w:r>
        <w:t xml:space="preserve">pre-processing step that occurred prior to training and classifying the</w:t>
      </w:r>
      <w:r>
        <w:t xml:space="preserve"> </w:t>
      </w:r>
      <w:r>
        <w:t xml:space="preserve">ML models. For example, perfectly correlated taxa provide the same</w:t>
      </w:r>
      <w:r>
        <w:t xml:space="preserve"> </w:t>
      </w:r>
      <w:r>
        <w:t xml:space="preserve">information to build the model and thus can be collapsed. Additionally,</w:t>
      </w:r>
      <w:r>
        <w:t xml:space="preserve"> </w:t>
      </w:r>
      <w:r>
        <w:t xml:space="preserve">features with zero or near-zero variance across samples were removed.</w:t>
      </w:r>
      <w:r>
        <w:t xml:space="preserve"> </w:t>
      </w:r>
      <w:r>
        <w:t xml:space="preserve">Interestingly, despite starting with 104,106 ASVs, only 478 (0.5%)</w:t>
      </w:r>
      <w:r>
        <w:t xml:space="preserve"> </w:t>
      </w:r>
      <w:r>
        <w:t xml:space="preserve">remained after pre-processing. At the OTU level, 705 of the 20,079 OTUs</w:t>
      </w:r>
      <w:r>
        <w:t xml:space="preserve"> </w:t>
      </w:r>
      <w:r>
        <w:t xml:space="preserve">(3.5%) remained after preprocessing (Table 1). While the resolution</w:t>
      </w:r>
      <w:r>
        <w:t xml:space="preserve"> </w:t>
      </w:r>
      <w:r>
        <w:t xml:space="preserve">provided by ASVs is useful in certain contexts(10, 11), these results</w:t>
      </w:r>
      <w:r>
        <w:t xml:space="preserve"> </w:t>
      </w:r>
      <w:r>
        <w:t xml:space="preserve">suggest that the resolution is too fine for use in machine learning</w:t>
      </w:r>
      <w:r>
        <w:t xml:space="preserve"> </w:t>
      </w:r>
      <w:r>
        <w:t xml:space="preserve">classification of SRNs based on microbiome composition.</w:t>
      </w:r>
    </w:p>
    <w:p>
      <w:pPr>
        <w:pStyle w:val="BodyText"/>
      </w:pPr>
      <w:r>
        <w:t xml:space="preserve">A look into the most important taxa at each level for classifying</w:t>
      </w:r>
      <w:r>
        <w:t xml:space="preserve"> </w:t>
      </w:r>
      <w:r>
        <w:t xml:space="preserve">samples revealed some nesting where several genera and their higher</w:t>
      </w:r>
      <w:r>
        <w:t xml:space="preserve"> </w:t>
      </w:r>
      <w:r>
        <w:t xml:space="preserve">taxonomic classifications were in the top 10 most important taxa</w:t>
      </w:r>
      <w:r>
        <w:t xml:space="preserve"> </w:t>
      </w:r>
      <w:r>
        <w:t xml:space="preserve">(Supplemental Figure 4). For example, the genus</w:t>
      </w:r>
      <w:r>
        <w:t xml:space="preserve"> </w:t>
      </w:r>
      <w:r>
        <w:rPr>
          <w:iCs/>
          <w:i/>
        </w:rPr>
        <w:t xml:space="preserve">Gemella</w:t>
      </w:r>
      <w:r>
        <w:t xml:space="preserve"> </w:t>
      </w:r>
      <w:r>
        <w:t xml:space="preserve">was an</w:t>
      </w:r>
      <w:r>
        <w:t xml:space="preserve"> </w:t>
      </w:r>
      <w:r>
        <w:t xml:space="preserve">important taxon at the genus and OTU levels and its higher</w:t>
      </w:r>
      <w:r>
        <w:t xml:space="preserve"> </w:t>
      </w:r>
      <w:r>
        <w:t xml:space="preserve">classifications were also important (</w:t>
      </w:r>
      <w:r>
        <w:rPr>
          <w:iCs/>
          <w:i/>
        </w:rPr>
        <w:t xml:space="preserve">Firmicutes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Bacilli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Bacillales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Bacillales Incertae Sedis XI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Gemella</w:t>
      </w:r>
      <w:r>
        <w:t xml:space="preserve">).</w:t>
      </w:r>
      <w:r>
        <w:t xml:space="preserve"> </w:t>
      </w:r>
      <w:r>
        <w:rPr>
          <w:iCs/>
          <w:i/>
        </w:rPr>
        <w:t xml:space="preserve">Fusobacterium</w:t>
      </w:r>
      <w:r>
        <w:t xml:space="preserve"> </w:t>
      </w:r>
      <w:r>
        <w:t xml:space="preserve">displayed a similar pattern, except that the family</w:t>
      </w:r>
      <w:r>
        <w:t xml:space="preserve"> </w:t>
      </w:r>
      <w:r>
        <w:t xml:space="preserve">level classification (</w:t>
      </w:r>
      <w:r>
        <w:rPr>
          <w:iCs/>
          <w:i/>
        </w:rPr>
        <w:t xml:space="preserve">Fusobacteriaceae</w:t>
      </w:r>
      <w:r>
        <w:t xml:space="preserve">) importance was ranked</w:t>
      </w:r>
      <w:r>
        <w:t xml:space="preserve"> </w:t>
      </w:r>
      <w:r>
        <w:t xml:space="preserve">16th out of 54 families. In the case of unclassified</w:t>
      </w:r>
      <w:r>
        <w:t xml:space="preserve"> </w:t>
      </w:r>
      <w:r>
        <w:rPr>
          <w:iCs/>
          <w:i/>
        </w:rPr>
        <w:t xml:space="preserve">Lachnospiraceae</w:t>
      </w:r>
      <w:r>
        <w:t xml:space="preserve">, there were several OTUs with this label that</w:t>
      </w:r>
      <w:r>
        <w:t xml:space="preserve"> </w:t>
      </w:r>
      <w:r>
        <w:t xml:space="preserve">were in the top 10, however at the genus level this taxon was ranked</w:t>
      </w:r>
      <w:r>
        <w:t xml:space="preserve"> </w:t>
      </w:r>
      <w:r>
        <w:t xml:space="preserve">lower in importance (21st out of 115 genera) suggesting there may be</w:t>
      </w:r>
      <w:r>
        <w:t xml:space="preserve"> </w:t>
      </w:r>
      <w:r>
        <w:t xml:space="preserve">some benefit to separating different taxonomic groupings within</w:t>
      </w:r>
      <w:r>
        <w:t xml:space="preserve"> </w:t>
      </w:r>
      <w:r>
        <w:rPr>
          <w:iCs/>
          <w:i/>
        </w:rPr>
        <w:t xml:space="preserve">Lachnospiraceae</w:t>
      </w:r>
      <w:r>
        <w:t xml:space="preserve">.</w:t>
      </w:r>
    </w:p>
    <w:p>
      <w:pPr>
        <w:pStyle w:val="BodyText"/>
      </w:pPr>
      <w:r>
        <w:t xml:space="preserve">These results demonstrate a Goldilocks effect such that consideration of</w:t>
      </w:r>
      <w:r>
        <w:t xml:space="preserve"> </w:t>
      </w:r>
      <w:r>
        <w:t xml:space="preserve">the appropriate taxonomic resolution for utilizing the microbiome as a</w:t>
      </w:r>
      <w:r>
        <w:t xml:space="preserve"> </w:t>
      </w:r>
      <w:r>
        <w:t xml:space="preserve">predictive tool is warranted. In general, we found that finer taxonomic</w:t>
      </w:r>
      <w:r>
        <w:t xml:space="preserve"> </w:t>
      </w:r>
      <w:r>
        <w:t xml:space="preserve">resolution (e.g. ASV) did not add additional sensitivity to predicting</w:t>
      </w:r>
      <w:r>
        <w:t xml:space="preserve"> </w:t>
      </w:r>
      <w:r>
        <w:t xml:space="preserve">SRNs based on microbiome composition. Family, genus, and OTU level data</w:t>
      </w:r>
      <w:r>
        <w:t xml:space="preserve"> </w:t>
      </w:r>
      <w:r>
        <w:t xml:space="preserve">all performed equally At the ASV level the fine resolution actually</w:t>
      </w:r>
      <w:r>
        <w:t xml:space="preserve"> </w:t>
      </w:r>
      <w:r>
        <w:t xml:space="preserve">impeded model performance due to the sparsity of shared taxa and led to</w:t>
      </w:r>
      <w:r>
        <w:t xml:space="preserve"> </w:t>
      </w:r>
      <w:r>
        <w:t xml:space="preserve">decreased model performance. The tendency for ASV level annotation to</w:t>
      </w:r>
      <w:r>
        <w:t xml:space="preserve"> </w:t>
      </w:r>
      <w:r>
        <w:t xml:space="preserve">split single bacterial genomes into multiple taxa (12) could also be a</w:t>
      </w:r>
      <w:r>
        <w:t xml:space="preserve"> </w:t>
      </w:r>
      <w:r>
        <w:t xml:space="preserve">contributing factor to the sparsity of shared taxa. Additionally, these</w:t>
      </w:r>
      <w:r>
        <w:t xml:space="preserve"> </w:t>
      </w:r>
      <w:r>
        <w:t xml:space="preserve">results indicate that there are not specific individual bacterial</w:t>
      </w:r>
      <w:r>
        <w:t xml:space="preserve"> </w:t>
      </w:r>
      <w:r>
        <w:t xml:space="preserve">strains that are useful to resolve SRNs, rather sets of closely related</w:t>
      </w:r>
      <w:r>
        <w:t xml:space="preserve"> </w:t>
      </w:r>
      <w:r>
        <w:t xml:space="preserve">bacterial taxa. Overall, either family, genus, or OTU level taxonomy</w:t>
      </w:r>
      <w:r>
        <w:t xml:space="preserve"> </w:t>
      </w:r>
      <w:r>
        <w:t xml:space="preserve">appear to perform equally for predicting subjects with SRNs based on the</w:t>
      </w:r>
      <w:r>
        <w:t xml:space="preserve"> </w:t>
      </w:r>
      <w:r>
        <w:t xml:space="preserve">composition of the gut microbiome. A potential benefit of utilizing</w:t>
      </w:r>
      <w:r>
        <w:t xml:space="preserve"> </w:t>
      </w:r>
      <w:r>
        <w:t xml:space="preserve">genus or family level data could be that it may allow for merging data</w:t>
      </w:r>
      <w:r>
        <w:t xml:space="preserve"> </w:t>
      </w:r>
      <w:r>
        <w:t xml:space="preserve">generated from different 16S rRNA gene regions or sequencing platforms.</w:t>
      </w:r>
    </w:p>
    <w:bookmarkStart w:id="23" w:name="materials-and-methods"/>
    <w:p>
      <w:pPr>
        <w:pStyle w:val="Heading3"/>
      </w:pPr>
      <w:r>
        <w:t xml:space="preserve">Materials and Methods</w:t>
      </w:r>
    </w:p>
    <w:bookmarkEnd w:id="23"/>
    <w:p>
      <w:pPr>
        <w:pStyle w:val="FirstParagraph"/>
      </w:pPr>
      <w:r>
        <w:rPr>
          <w:iCs/>
          <w:i/>
          <w:bCs/>
          <w:b/>
        </w:rPr>
        <w:t xml:space="preserve">Dataset.</w:t>
      </w:r>
      <w:r>
        <w:t xml:space="preserve"> </w:t>
      </w:r>
      <w:r>
        <w:t xml:space="preserve">Raw 16S rRNA gene amplicon sequence data</w:t>
      </w:r>
      <w:r>
        <w:t xml:space="preserve"> </w:t>
      </w:r>
      <w:r>
        <w:t xml:space="preserve">isolated from human gut samples (13) was downloaded from NCBI Sequence</w:t>
      </w:r>
      <w:r>
        <w:t xml:space="preserve"> </w:t>
      </w:r>
      <w:r>
        <w:t xml:space="preserve">Read Archive (SRP062005). This dataset contains stool samples from 490</w:t>
      </w:r>
      <w:r>
        <w:t xml:space="preserve"> </w:t>
      </w:r>
      <w:r>
        <w:t xml:space="preserve">subjects. Based on the available metadata, samples categorized as</w:t>
      </w:r>
      <w:r>
        <w:t xml:space="preserve"> </w:t>
      </w:r>
      <w:r>
        <w:t xml:space="preserve">normal, high risk normal, or adenoma were labeled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for this</w:t>
      </w:r>
      <w:r>
        <w:t xml:space="preserve"> </w:t>
      </w:r>
      <w:r>
        <w:t xml:space="preserve">analysis and samples categorized as advanced adenoma or carcinoma were</w:t>
      </w:r>
      <w:r>
        <w:t xml:space="preserve"> </w:t>
      </w:r>
      <w:r>
        <w:t xml:space="preserve">labeled as</w:t>
      </w:r>
      <w:r>
        <w:t xml:space="preserve"> </w:t>
      </w:r>
      <w:r>
        <w:t xml:space="preserve">“</w:t>
      </w:r>
      <w:r>
        <w:t xml:space="preserve">screen relevant neoplasia</w:t>
      </w:r>
      <w:r>
        <w:t xml:space="preserve">”</w:t>
      </w:r>
      <w:r>
        <w:t xml:space="preserve"> </w:t>
      </w:r>
      <w:r>
        <w:t xml:space="preserve">(SRN). This resulted in a total</w:t>
      </w:r>
      <w:r>
        <w:t xml:space="preserve"> </w:t>
      </w:r>
      <w:r>
        <w:t xml:space="preserve">of 261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samples and 229</w:t>
      </w:r>
      <w:r>
        <w:t xml:space="preserve"> </w:t>
      </w:r>
      <w:r>
        <w:t xml:space="preserve">“</w:t>
      </w:r>
      <w:r>
        <w:t xml:space="preserve">SRN</w:t>
      </w:r>
      <w:r>
        <w:t xml:space="preserve">”</w:t>
      </w:r>
      <w:r>
        <w:t xml:space="preserve"> </w:t>
      </w:r>
      <w:r>
        <w:t xml:space="preserve">samples.</w:t>
      </w:r>
    </w:p>
    <w:p>
      <w:pPr>
        <w:pStyle w:val="BodyText"/>
      </w:pPr>
      <w:r>
        <w:rPr>
          <w:iCs/>
          <w:i/>
          <w:bCs/>
          <w:b/>
        </w:rPr>
        <w:t xml:space="preserve">Data processing.</w:t>
      </w:r>
      <w:r>
        <w:t xml:space="preserve"> </w:t>
      </w:r>
      <w:r>
        <w:t xml:space="preserve">Sequence data was processed with mothur</w:t>
      </w:r>
      <w:r>
        <w:t xml:space="preserve"> </w:t>
      </w:r>
      <w:r>
        <w:t xml:space="preserve">(1.44.3) (7) using the SILVA reference database (v132) (14) to produce</w:t>
      </w:r>
      <w:r>
        <w:t xml:space="preserve"> </w:t>
      </w:r>
      <w:r>
        <w:t xml:space="preserve">count tables for phylum, class, order, family, genus, OTU, and ASV</w:t>
      </w:r>
      <w:r>
        <w:t xml:space="preserve"> </w:t>
      </w:r>
      <w:r>
        <w:t xml:space="preserve">following the Schloss Lab MiSeq SOP described on the mothur website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https://mothur.org/wiki/miseq_sop/</w:t>
        </w:r>
      </w:hyperlink>
      <w:r>
        <w:t xml:space="preserve">). ASV level data was also</w:t>
      </w:r>
      <w:r>
        <w:t xml:space="preserve"> </w:t>
      </w:r>
      <w:r>
        <w:t xml:space="preserve">produced using DADA2 (15) to ensure consistent results with a different</w:t>
      </w:r>
      <w:r>
        <w:t xml:space="preserve"> </w:t>
      </w:r>
      <w:r>
        <w:t xml:space="preserve">pipeline. Data was processed following the DADA2 pipeline, but setting</w:t>
      </w:r>
      <w:r>
        <w:t xml:space="preserve"> </w:t>
      </w:r>
      <w:r>
        <w:t xml:space="preserve">pool=TRUE to infer ASVs from the whole dataset rather than per sample.</w:t>
      </w:r>
      <w:r>
        <w:t xml:space="preserve"> </w:t>
      </w:r>
      <w:r>
        <w:t xml:space="preserve">The resulting ASV table was subsampled for consistency with the mothur</w:t>
      </w:r>
      <w:r>
        <w:t xml:space="preserve"> </w:t>
      </w:r>
      <w:r>
        <w:t xml:space="preserve">data. The DADA2 generated ASVs performed worse than the mothur generated</w:t>
      </w:r>
      <w:r>
        <w:t xml:space="preserve"> </w:t>
      </w:r>
      <w:r>
        <w:t xml:space="preserve">ASVs (DADA2 ASV mean AUROC: 0.659, p &lt; 0.05).</w:t>
      </w:r>
    </w:p>
    <w:p>
      <w:pPr>
        <w:pStyle w:val="BodyText"/>
      </w:pPr>
      <w:r>
        <w:rPr>
          <w:iCs/>
          <w:i/>
          <w:bCs/>
          <w:b/>
        </w:rPr>
        <w:t xml:space="preserve">Machine Learning.</w:t>
      </w:r>
      <w:r>
        <w:t xml:space="preserve"> </w:t>
      </w:r>
      <w:r>
        <w:t xml:space="preserve">Machine learning models were run with</w:t>
      </w:r>
      <w:r>
        <w:t xml:space="preserve"> </w:t>
      </w:r>
      <w:r>
        <w:t xml:space="preserve">the R package mikropml (v0.0.2) (8) to predict the diagnosis category</w:t>
      </w:r>
      <w:r>
        <w:t xml:space="preserve"> </w:t>
      </w:r>
      <w:r>
        <w:t xml:space="preserve">(normal vs SRN) of each sample. Data was preprocessed to normalize</w:t>
      </w:r>
      <w:r>
        <w:t xml:space="preserve"> </w:t>
      </w:r>
      <w:r>
        <w:t xml:space="preserve">values (scale/center), remove values with zero or near-zero variance,</w:t>
      </w:r>
      <w:r>
        <w:t xml:space="preserve"> </w:t>
      </w:r>
      <w:r>
        <w:t xml:space="preserve">and collapse collinear features using default parameters. Initially the</w:t>
      </w:r>
      <w:r>
        <w:t xml:space="preserve"> </w:t>
      </w:r>
      <w:r>
        <w:t xml:space="preserve">models were run with default hyperparameters, but were expanded if the</w:t>
      </w:r>
      <w:r>
        <w:t xml:space="preserve"> </w:t>
      </w:r>
      <w:r>
        <w:t xml:space="preserve">peak performance was at the edge of the hyperparameter range. Each</w:t>
      </w:r>
      <w:r>
        <w:t xml:space="preserve"> </w:t>
      </w:r>
      <w:r>
        <w:t xml:space="preserve">taxonomic model taxonomic level combination (e.g. random forest on</w:t>
      </w:r>
      <w:r>
        <w:t xml:space="preserve"> </w:t>
      </w:r>
      <w:r>
        <w:t xml:space="preserve">genus) was run with 100 different seeds. Each seed split the data into a</w:t>
      </w:r>
      <w:r>
        <w:t xml:space="preserve"> </w:t>
      </w:r>
      <w:r>
        <w:t xml:space="preserve">training (80%) and testing (20%) set, and output performance of the</w:t>
      </w:r>
      <w:r>
        <w:t xml:space="preserve"> </w:t>
      </w:r>
      <w:r>
        <w:t xml:space="preserve">training and testing as area under the receiver operating curve (AUROC).</w:t>
      </w:r>
    </w:p>
    <w:p>
      <w:pPr>
        <w:pStyle w:val="BodyText"/>
      </w:pPr>
      <w:r>
        <w:t xml:space="preserve">To compare performance between taxonomic levels and models, P values</w:t>
      </w:r>
      <w:r>
        <w:t xml:space="preserve"> </w:t>
      </w:r>
      <w:r>
        <w:t xml:space="preserve">were calculated as previously described (6). To compare sensitivity at</w:t>
      </w:r>
      <w:r>
        <w:t xml:space="preserve"> </w:t>
      </w:r>
      <w:r>
        <w:t xml:space="preserve">90% specificity, probabilities on the test dataset were collected for</w:t>
      </w:r>
      <w:r>
        <w:t xml:space="preserve"> </w:t>
      </w:r>
      <w:r>
        <w:t xml:space="preserve">each seed and used to calculate sensitivity for specificity values</w:t>
      </w:r>
      <w:r>
        <w:t xml:space="preserve"> </w:t>
      </w:r>
      <w:r>
        <w:t xml:space="preserve">ranging from 0 to 1 in 0.01 increments. The sensitivity at a specificity</w:t>
      </w:r>
      <w:r>
        <w:t xml:space="preserve"> </w:t>
      </w:r>
      <w:r>
        <w:t xml:space="preserve">of 90% was pulled for each seed. The averaged ROC curves were plotted</w:t>
      </w:r>
      <w:r>
        <w:t xml:space="preserve"> </w:t>
      </w:r>
      <w:r>
        <w:t xml:space="preserve">by taking the average and standard deviation of the sensitivity at each</w:t>
      </w:r>
      <w:r>
        <w:t xml:space="preserve"> </w:t>
      </w:r>
      <w:r>
        <w:t xml:space="preserve">specificity value. An optional output from the mikropml package is the</w:t>
      </w:r>
      <w:r>
        <w:t xml:space="preserve"> </w:t>
      </w:r>
      <w:r>
        <w:t xml:space="preserve">permuted feature importance which is quantified by iteratively permuting</w:t>
      </w:r>
      <w:r>
        <w:t xml:space="preserve"> </w:t>
      </w:r>
      <w:r>
        <w:t xml:space="preserve">each feature in the model and assessing the change in model performance.</w:t>
      </w:r>
      <w:r>
        <w:t xml:space="preserve"> </w:t>
      </w:r>
      <w:r>
        <w:t xml:space="preserve">Features are presumed to be important if the performance of the model,</w:t>
      </w:r>
      <w:r>
        <w:t xml:space="preserve"> </w:t>
      </w:r>
      <w:r>
        <w:t xml:space="preserve">measured by the AUROC, decreases when that feature is permuted. Ranking</w:t>
      </w:r>
      <w:r>
        <w:t xml:space="preserve"> </w:t>
      </w:r>
      <w:r>
        <w:t xml:space="preserve">of feature importance was determined by ordering the features based on</w:t>
      </w:r>
      <w:r>
        <w:t xml:space="preserve"> </w:t>
      </w:r>
      <w:r>
        <w:t xml:space="preserve">the average change in AUROC across the 100 seeds where features with a</w:t>
      </w:r>
      <w:r>
        <w:t xml:space="preserve"> </w:t>
      </w:r>
      <w:r>
        <w:t xml:space="preserve">larger decrease in AUROC are ranked higher in importance.</w:t>
      </w:r>
    </w:p>
    <w:p>
      <w:pPr>
        <w:pStyle w:val="BodyText"/>
      </w:pPr>
      <w:r>
        <w:t xml:space="preserve">To quantify prevalence of the features, the number of samples with</w:t>
      </w:r>
      <w:r>
        <w:t xml:space="preserve"> </w:t>
      </w:r>
      <w:r>
        <w:t xml:space="preserve">non-zero abundance was divided by the total number of samples resulting</w:t>
      </w:r>
      <w:r>
        <w:t xml:space="preserve"> </w:t>
      </w:r>
      <w:r>
        <w:t xml:space="preserve">in values ranging from 0 to 1 where 0 indicates the feature is not found</w:t>
      </w:r>
      <w:r>
        <w:t xml:space="preserve"> </w:t>
      </w:r>
      <w:r>
        <w:t xml:space="preserve">in any samples, 0.5 indicates the feature is found in half of the</w:t>
      </w:r>
      <w:r>
        <w:t xml:space="preserve"> </w:t>
      </w:r>
      <w:r>
        <w:t xml:space="preserve">samples, and 1 indicates the feature is found in all of the samples.</w:t>
      </w:r>
    </w:p>
    <w:p>
      <w:pPr>
        <w:pStyle w:val="BodyText"/>
      </w:pPr>
      <w:r>
        <w:t xml:space="preserve">All code is available at:</w:t>
      </w:r>
      <w:r>
        <w:t xml:space="preserve"> </w:t>
      </w:r>
      <w:hyperlink r:id="rId25">
        <w:r>
          <w:rPr>
            <w:rStyle w:val="Hyperlink"/>
          </w:rPr>
          <w:t xml:space="preserve">https://github.com/SchlossLab/Armour_Resolution_XXXX_2021</w:t>
        </w:r>
      </w:hyperlink>
    </w:p>
    <w:bookmarkStart w:id="26" w:name="acknowledgements"/>
    <w:p>
      <w:pPr>
        <w:pStyle w:val="Heading3"/>
      </w:pPr>
      <w:r>
        <w:t xml:space="preserve">Acknowledgements</w:t>
      </w:r>
    </w:p>
    <w:bookmarkEnd w:id="26"/>
    <w:p>
      <w:pPr>
        <w:pStyle w:val="FirstParagraph"/>
      </w:pPr>
      <w:r>
        <w:t xml:space="preserve">This work was supported through a grant from the NIH (R01CA215574).</w:t>
      </w:r>
    </w:p>
    <w:bookmarkStart w:id="27" w:name="references"/>
    <w:p>
      <w:pPr>
        <w:pStyle w:val="Heading3"/>
      </w:pPr>
      <w:r>
        <w:t xml:space="preserve">References</w:t>
      </w:r>
    </w:p>
    <w:bookmarkEnd w:id="27"/>
    <w:bookmarkStart w:id="28" w:name="refs"/>
    <w:bookmarkEnd w:id="28"/>
    <w:p>
      <w:pPr>
        <w:pStyle w:val="FirstParagraph"/>
      </w:pPr>
      <w:r>
        <w:t xml:space="preserve">&gt; 0</w:t>
      </w:r>
    </w:p>
    <w:p>
      <w:pPr>
        <w:pStyle w:val="BodyText"/>
      </w:pPr>
      <w:bookmarkStart w:id="29" w:name="ref-siegel2020"/>
      <w:bookmarkEnd w:id="29"/>
    </w:p>
    <w:p>
      <w:pPr>
        <w:pStyle w:val="BodyText"/>
      </w:pPr>
      <w:r>
        <w:t xml:space="preserve">1.</w:t>
      </w:r>
    </w:p>
    <w:p>
      <w:pPr>
        <w:pStyle w:val="BodyText"/>
      </w:pPr>
      <w:r>
        <w:rPr>
          <w:bCs/>
          <w:b/>
        </w:rPr>
        <w:t xml:space="preserve">Siegel RL</w:t>
      </w:r>
      <w:r>
        <w:t xml:space="preserve">,</w:t>
      </w:r>
      <w:r>
        <w:t xml:space="preserve"> </w:t>
      </w:r>
      <w:r>
        <w:rPr>
          <w:bCs/>
          <w:b/>
        </w:rPr>
        <w:t xml:space="preserve">Miller KD</w:t>
      </w:r>
      <w:r>
        <w:t xml:space="preserve">,</w:t>
      </w:r>
      <w:r>
        <w:t xml:space="preserve"> </w:t>
      </w:r>
      <w:r>
        <w:rPr>
          <w:bCs/>
          <w:b/>
        </w:rPr>
        <w:t xml:space="preserve">Sauer</w:t>
      </w:r>
      <w:r>
        <w:rPr>
          <w:bCs/>
          <w:b/>
        </w:rPr>
        <w:t xml:space="preserve"> </w:t>
      </w:r>
      <w:r>
        <w:rPr>
          <w:bCs/>
          <w:b/>
        </w:rPr>
        <w:t xml:space="preserve">AG</w:t>
      </w:r>
      <w:r>
        <w:t xml:space="preserve">,</w:t>
      </w:r>
      <w:r>
        <w:t xml:space="preserve"> </w:t>
      </w:r>
      <w:r>
        <w:rPr>
          <w:bCs/>
          <w:b/>
        </w:rPr>
        <w:t xml:space="preserve">Fedewa SA</w:t>
      </w:r>
      <w:r>
        <w:t xml:space="preserve">,</w:t>
      </w:r>
      <w:r>
        <w:t xml:space="preserve"> </w:t>
      </w:r>
      <w:r>
        <w:rPr>
          <w:bCs/>
          <w:b/>
        </w:rPr>
        <w:t xml:space="preserve">Butterly LF</w:t>
      </w:r>
      <w:r>
        <w:t xml:space="preserve">,</w:t>
      </w:r>
      <w:r>
        <w:t xml:space="preserve"> </w:t>
      </w:r>
      <w:r>
        <w:rPr>
          <w:bCs/>
          <w:b/>
        </w:rPr>
        <w:t xml:space="preserve">Anderson JC</w:t>
      </w:r>
      <w:r>
        <w:t xml:space="preserve">,</w:t>
      </w:r>
      <w:r>
        <w:t xml:space="preserve"> </w:t>
      </w:r>
      <w:r>
        <w:rPr>
          <w:bCs/>
          <w:b/>
        </w:rPr>
        <w:t xml:space="preserve">Cercek A</w:t>
      </w:r>
      <w:r>
        <w:t xml:space="preserve">,</w:t>
      </w:r>
      <w:r>
        <w:t xml:space="preserve"> </w:t>
      </w:r>
      <w:r>
        <w:rPr>
          <w:bCs/>
          <w:b/>
        </w:rPr>
        <w:t xml:space="preserve">Smith RA</w:t>
      </w:r>
      <w:r>
        <w:t xml:space="preserve">,</w:t>
      </w:r>
      <w:r>
        <w:t xml:space="preserve"> </w:t>
      </w:r>
      <w:r>
        <w:rPr>
          <w:bCs/>
          <w:b/>
        </w:rPr>
        <w:t xml:space="preserve">Jemal A</w:t>
      </w:r>
      <w:r>
        <w:t xml:space="preserve">. 2020. Colorectal</w:t>
      </w:r>
      <w:r>
        <w:t xml:space="preserve"> </w:t>
      </w:r>
      <w:r>
        <w:t xml:space="preserve">cancer statistics, 2020. CA: A Cancer Journal for Clinicians</w:t>
      </w:r>
      <w:r>
        <w:t xml:space="preserve"> </w:t>
      </w:r>
      <w:r>
        <w:rPr>
          <w:bCs/>
          <w:b/>
        </w:rPr>
        <w:t xml:space="preserve">70</w:t>
      </w:r>
      <w:r>
        <w:t xml:space="preserve">:145–164. doi:</w:t>
      </w:r>
      <w:hyperlink r:id="rId30">
        <w:r>
          <w:rPr>
            <w:rStyle w:val="Hyperlink"/>
          </w:rPr>
          <w:t xml:space="preserve">https://doi.org/10.3322/caac.21601</w:t>
        </w:r>
      </w:hyperlink>
      <w:r>
        <w:t xml:space="preserve">.</w:t>
      </w:r>
    </w:p>
    <w:p>
      <w:pPr>
        <w:pStyle w:val="BodyText"/>
      </w:pPr>
      <w:bookmarkStart w:id="31" w:name="ref-garcuxeda2011"/>
      <w:bookmarkEnd w:id="31"/>
    </w:p>
    <w:p>
      <w:pPr>
        <w:pStyle w:val="BodyText"/>
      </w:pPr>
      <w:r>
        <w:t xml:space="preserve">2.</w:t>
      </w:r>
    </w:p>
    <w:p>
      <w:pPr>
        <w:pStyle w:val="BodyText"/>
      </w:pPr>
      <w:r>
        <w:rPr>
          <w:bCs/>
          <w:b/>
        </w:rPr>
        <w:t xml:space="preserve">García G</w:t>
      </w:r>
      <w:r>
        <w:t xml:space="preserve">,</w:t>
      </w:r>
      <w:r>
        <w:t xml:space="preserve"> </w:t>
      </w:r>
      <w:r>
        <w:rPr>
          <w:bCs/>
          <w:b/>
        </w:rPr>
        <w:t xml:space="preserve">Z A</w:t>
      </w:r>
      <w:r>
        <w:t xml:space="preserve">. 2011. Factors</w:t>
      </w:r>
      <w:r>
        <w:t xml:space="preserve"> </w:t>
      </w:r>
      <w:r>
        <w:t xml:space="preserve">Influencing Colorectal Cancer Screening Participation. Gastroenterology</w:t>
      </w:r>
      <w:r>
        <w:t xml:space="preserve"> </w:t>
      </w:r>
      <w:r>
        <w:t xml:space="preserve">Research and Practice</w:t>
      </w:r>
      <w:r>
        <w:t xml:space="preserve"> </w:t>
      </w:r>
      <w:r>
        <w:rPr>
          <w:bCs/>
          <w:b/>
        </w:rPr>
        <w:t xml:space="preserve">2012</w:t>
      </w:r>
      <w:r>
        <w:t xml:space="preserve">:e483417.</w:t>
      </w:r>
      <w:r>
        <w:t xml:space="preserve"> </w:t>
      </w:r>
      <w:r>
        <w:t xml:space="preserve">doi:</w:t>
      </w:r>
      <w:hyperlink r:id="rId32">
        <w:r>
          <w:rPr>
            <w:rStyle w:val="Hyperlink"/>
          </w:rPr>
          <w:t xml:space="preserve">10.1155/2012/483417</w:t>
        </w:r>
      </w:hyperlink>
      <w:r>
        <w:t xml:space="preserve">.</w:t>
      </w:r>
    </w:p>
    <w:p>
      <w:pPr>
        <w:pStyle w:val="BodyText"/>
      </w:pPr>
      <w:bookmarkStart w:id="33" w:name="ref-zackular2014"/>
      <w:bookmarkEnd w:id="33"/>
    </w:p>
    <w:p>
      <w:pPr>
        <w:pStyle w:val="BodyText"/>
      </w:pPr>
      <w:r>
        <w:t xml:space="preserve">3.</w:t>
      </w:r>
    </w:p>
    <w:p>
      <w:pPr>
        <w:pStyle w:val="BodyText"/>
      </w:pPr>
      <w:r>
        <w:rPr>
          <w:bCs/>
          <w:b/>
        </w:rPr>
        <w:t xml:space="preserve">Zackular JP</w:t>
      </w:r>
      <w:r>
        <w:t xml:space="preserve">,</w:t>
      </w:r>
      <w:r>
        <w:t xml:space="preserve"> </w:t>
      </w:r>
      <w:r>
        <w:rPr>
          <w:bCs/>
          <w:b/>
        </w:rPr>
        <w:t xml:space="preserve">Rogers MAM</w:t>
      </w:r>
      <w:r>
        <w:t xml:space="preserve">,</w:t>
      </w:r>
      <w:r>
        <w:t xml:space="preserve"> </w:t>
      </w:r>
      <w:r>
        <w:rPr>
          <w:bCs/>
          <w:b/>
        </w:rPr>
        <w:t xml:space="preserve">Ruffin MT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2014. The Human Gut Microbiome</w:t>
      </w:r>
      <w:r>
        <w:t xml:space="preserve"> </w:t>
      </w:r>
      <w:r>
        <w:t xml:space="preserve">as a Screening Tool for Colorectal Cancer. Cancer Prevention Research</w:t>
      </w:r>
      <w:r>
        <w:t xml:space="preserve"> </w:t>
      </w:r>
      <w:r>
        <w:rPr>
          <w:bCs/>
          <w:b/>
        </w:rPr>
        <w:t xml:space="preserve">7</w:t>
      </w:r>
      <w:r>
        <w:t xml:space="preserve">:1112–1121.</w:t>
      </w:r>
      <w:r>
        <w:t xml:space="preserve"> </w:t>
      </w:r>
      <w:r>
        <w:t xml:space="preserve">doi:</w:t>
      </w:r>
      <w:hyperlink r:id="rId34">
        <w:r>
          <w:rPr>
            <w:rStyle w:val="Hyperlink"/>
          </w:rPr>
          <w:t xml:space="preserve">10.1158/1940-6207.CAPR-14-0129</w:t>
        </w:r>
      </w:hyperlink>
      <w:r>
        <w:t xml:space="preserve">.</w:t>
      </w:r>
    </w:p>
    <w:p>
      <w:pPr>
        <w:pStyle w:val="BodyText"/>
      </w:pPr>
      <w:bookmarkStart w:id="35" w:name="ref-zeller2014"/>
      <w:bookmarkEnd w:id="35"/>
    </w:p>
    <w:p>
      <w:pPr>
        <w:pStyle w:val="BodyText"/>
      </w:pPr>
      <w:r>
        <w:t xml:space="preserve">4.</w:t>
      </w:r>
    </w:p>
    <w:p>
      <w:pPr>
        <w:pStyle w:val="BodyText"/>
      </w:pPr>
      <w:r>
        <w:rPr>
          <w:bCs/>
          <w:b/>
        </w:rPr>
        <w:t xml:space="preserve">Zeller G</w:t>
      </w:r>
      <w:r>
        <w:t xml:space="preserve">,</w:t>
      </w:r>
      <w:r>
        <w:t xml:space="preserve"> </w:t>
      </w:r>
      <w:r>
        <w:rPr>
          <w:bCs/>
          <w:b/>
        </w:rPr>
        <w:t xml:space="preserve">Tap J</w:t>
      </w:r>
      <w:r>
        <w:t xml:space="preserve">,</w:t>
      </w:r>
      <w:r>
        <w:t xml:space="preserve"> </w:t>
      </w:r>
      <w:r>
        <w:rPr>
          <w:bCs/>
          <w:b/>
        </w:rPr>
        <w:t xml:space="preserve">Voigt AY</w:t>
      </w:r>
      <w:r>
        <w:t xml:space="preserve">,</w:t>
      </w:r>
      <w:r>
        <w:t xml:space="preserve"> </w:t>
      </w:r>
      <w:r>
        <w:rPr>
          <w:bCs/>
          <w:b/>
        </w:rPr>
        <w:t xml:space="preserve">Sunagawa S</w:t>
      </w:r>
      <w:r>
        <w:t xml:space="preserve">,</w:t>
      </w:r>
      <w:r>
        <w:t xml:space="preserve"> </w:t>
      </w:r>
      <w:r>
        <w:rPr>
          <w:bCs/>
          <w:b/>
        </w:rPr>
        <w:t xml:space="preserve">Kultima JR</w:t>
      </w:r>
      <w:r>
        <w:t xml:space="preserve">,</w:t>
      </w:r>
      <w:r>
        <w:t xml:space="preserve"> </w:t>
      </w:r>
      <w:r>
        <w:rPr>
          <w:bCs/>
          <w:b/>
        </w:rPr>
        <w:t xml:space="preserve">Costea PI</w:t>
      </w:r>
      <w:r>
        <w:t xml:space="preserve">,</w:t>
      </w:r>
      <w:r>
        <w:t xml:space="preserve"> </w:t>
      </w:r>
      <w:r>
        <w:rPr>
          <w:bCs/>
          <w:b/>
        </w:rPr>
        <w:t xml:space="preserve">Amiot A</w:t>
      </w:r>
      <w:r>
        <w:t xml:space="preserve">,</w:t>
      </w:r>
      <w:r>
        <w:t xml:space="preserve"> </w:t>
      </w:r>
      <w:r>
        <w:rPr>
          <w:bCs/>
          <w:b/>
        </w:rPr>
        <w:t xml:space="preserve">Böhm J</w:t>
      </w:r>
      <w:r>
        <w:t xml:space="preserve">,</w:t>
      </w:r>
      <w:r>
        <w:t xml:space="preserve"> </w:t>
      </w:r>
      <w:r>
        <w:rPr>
          <w:bCs/>
          <w:b/>
        </w:rPr>
        <w:t xml:space="preserve">Brunetti F</w:t>
      </w:r>
      <w:r>
        <w:t xml:space="preserve">,</w:t>
      </w:r>
      <w:r>
        <w:t xml:space="preserve"> </w:t>
      </w:r>
      <w:r>
        <w:rPr>
          <w:bCs/>
          <w:b/>
        </w:rPr>
        <w:t xml:space="preserve">Habermann N</w:t>
      </w:r>
      <w:r>
        <w:t xml:space="preserve">,</w:t>
      </w:r>
      <w:r>
        <w:t xml:space="preserve"> </w:t>
      </w:r>
      <w:r>
        <w:rPr>
          <w:bCs/>
          <w:b/>
        </w:rPr>
        <w:t xml:space="preserve">Hercog R</w:t>
      </w:r>
      <w:r>
        <w:t xml:space="preserve">,</w:t>
      </w:r>
      <w:r>
        <w:t xml:space="preserve"> </w:t>
      </w:r>
      <w:r>
        <w:rPr>
          <w:bCs/>
          <w:b/>
        </w:rPr>
        <w:t xml:space="preserve">Koch M</w:t>
      </w:r>
      <w:r>
        <w:t xml:space="preserve">,</w:t>
      </w:r>
      <w:r>
        <w:t xml:space="preserve"> </w:t>
      </w:r>
      <w:r>
        <w:rPr>
          <w:bCs/>
          <w:b/>
        </w:rPr>
        <w:t xml:space="preserve">Luciani A</w:t>
      </w:r>
      <w:r>
        <w:t xml:space="preserve">,</w:t>
      </w:r>
      <w:r>
        <w:t xml:space="preserve"> </w:t>
      </w:r>
      <w:r>
        <w:rPr>
          <w:bCs/>
          <w:b/>
        </w:rPr>
        <w:t xml:space="preserve">Mende DR</w:t>
      </w:r>
      <w:r>
        <w:t xml:space="preserve">,</w:t>
      </w:r>
      <w:r>
        <w:t xml:space="preserve"> </w:t>
      </w:r>
      <w:r>
        <w:rPr>
          <w:bCs/>
          <w:b/>
        </w:rPr>
        <w:t xml:space="preserve">Schneider MA</w:t>
      </w:r>
      <w:r>
        <w:t xml:space="preserve">,</w:t>
      </w:r>
      <w:r>
        <w:t xml:space="preserve"> </w:t>
      </w:r>
      <w:r>
        <w:rPr>
          <w:bCs/>
          <w:b/>
        </w:rPr>
        <w:t xml:space="preserve">Schrotz-King P</w:t>
      </w:r>
      <w:r>
        <w:t xml:space="preserve">,</w:t>
      </w:r>
      <w:r>
        <w:t xml:space="preserve"> </w:t>
      </w:r>
      <w:r>
        <w:rPr>
          <w:bCs/>
          <w:b/>
        </w:rPr>
        <w:t xml:space="preserve">Tournigand C</w:t>
      </w:r>
      <w:r>
        <w:t xml:space="preserve">,</w:t>
      </w:r>
      <w:r>
        <w:t xml:space="preserve"> </w:t>
      </w:r>
      <w:r>
        <w:rPr>
          <w:bCs/>
          <w:b/>
        </w:rPr>
        <w:t xml:space="preserve">Nhieu JTV</w:t>
      </w:r>
      <w:r>
        <w:t xml:space="preserve">,</w:t>
      </w:r>
      <w:r>
        <w:t xml:space="preserve"> </w:t>
      </w:r>
      <w:r>
        <w:rPr>
          <w:bCs/>
          <w:b/>
        </w:rPr>
        <w:t xml:space="preserve">Yamada T</w:t>
      </w:r>
      <w:r>
        <w:t xml:space="preserve">,</w:t>
      </w:r>
      <w:r>
        <w:t xml:space="preserve"> </w:t>
      </w:r>
      <w:r>
        <w:rPr>
          <w:bCs/>
          <w:b/>
        </w:rPr>
        <w:t xml:space="preserve">Zimmermann J</w:t>
      </w:r>
      <w:r>
        <w:t xml:space="preserve">,</w:t>
      </w:r>
      <w:r>
        <w:t xml:space="preserve"> </w:t>
      </w:r>
      <w:r>
        <w:rPr>
          <w:bCs/>
          <w:b/>
        </w:rPr>
        <w:t xml:space="preserve">Benes V</w:t>
      </w:r>
      <w:r>
        <w:t xml:space="preserve">,</w:t>
      </w:r>
      <w:r>
        <w:t xml:space="preserve"> </w:t>
      </w:r>
      <w:r>
        <w:rPr>
          <w:bCs/>
          <w:b/>
        </w:rPr>
        <w:t xml:space="preserve">Kloor M</w:t>
      </w:r>
      <w:r>
        <w:t xml:space="preserve">,</w:t>
      </w:r>
      <w:r>
        <w:t xml:space="preserve"> </w:t>
      </w:r>
      <w:r>
        <w:rPr>
          <w:bCs/>
          <w:b/>
        </w:rPr>
        <w:t xml:space="preserve">Ulrich CM</w:t>
      </w:r>
      <w:r>
        <w:t xml:space="preserve">,</w:t>
      </w:r>
      <w:r>
        <w:t xml:space="preserve"> </w:t>
      </w:r>
      <w:r>
        <w:rPr>
          <w:bCs/>
          <w:b/>
        </w:rPr>
        <w:t xml:space="preserve">Doeberitz M von K</w:t>
      </w:r>
      <w:r>
        <w:t xml:space="preserve">,</w:t>
      </w:r>
      <w:r>
        <w:t xml:space="preserve"> </w:t>
      </w:r>
      <w:r>
        <w:rPr>
          <w:bCs/>
          <w:b/>
        </w:rPr>
        <w:t xml:space="preserve">Sobhani I</w:t>
      </w:r>
      <w:r>
        <w:t xml:space="preserve">,</w:t>
      </w:r>
      <w:r>
        <w:t xml:space="preserve"> </w:t>
      </w:r>
      <w:r>
        <w:rPr>
          <w:bCs/>
          <w:b/>
        </w:rPr>
        <w:t xml:space="preserve">Bork P</w:t>
      </w:r>
      <w:r>
        <w:t xml:space="preserve">. 2014. Potential of fecal microbiota</w:t>
      </w:r>
      <w:r>
        <w:t xml:space="preserve"> </w:t>
      </w:r>
      <w:r>
        <w:t xml:space="preserve">for early-stage detection of colorectal cancer. Molecular Systems</w:t>
      </w:r>
      <w:r>
        <w:t xml:space="preserve"> </w:t>
      </w:r>
      <w:r>
        <w:t xml:space="preserve">Biology</w:t>
      </w:r>
      <w:r>
        <w:t xml:space="preserve"> </w:t>
      </w:r>
      <w:r>
        <w:rPr>
          <w:bCs/>
          <w:b/>
        </w:rPr>
        <w:t xml:space="preserve">10</w:t>
      </w:r>
      <w:r>
        <w:t xml:space="preserve">:766.</w:t>
      </w:r>
      <w:r>
        <w:t xml:space="preserve"> </w:t>
      </w:r>
      <w:r>
        <w:t xml:space="preserve">doi:</w:t>
      </w:r>
      <w:hyperlink r:id="rId36">
        <w:r>
          <w:rPr>
            <w:rStyle w:val="Hyperlink"/>
          </w:rPr>
          <w:t xml:space="preserve">10.15252/msb.20145645</w:t>
        </w:r>
      </w:hyperlink>
      <w:r>
        <w:t xml:space="preserve">.</w:t>
      </w:r>
    </w:p>
    <w:p>
      <w:pPr>
        <w:pStyle w:val="BodyText"/>
      </w:pPr>
      <w:bookmarkStart w:id="37" w:name="ref-callahan2017"/>
      <w:bookmarkEnd w:id="37"/>
    </w:p>
    <w:p>
      <w:pPr>
        <w:pStyle w:val="BodyText"/>
      </w:pPr>
      <w:r>
        <w:t xml:space="preserve">5.</w:t>
      </w:r>
    </w:p>
    <w:p>
      <w:pPr>
        <w:pStyle w:val="BodyText"/>
      </w:pPr>
      <w:r>
        <w:rPr>
          <w:bCs/>
          <w:b/>
        </w:rPr>
        <w:t xml:space="preserve">Callahan BJ</w:t>
      </w:r>
      <w:r>
        <w:t xml:space="preserve">,</w:t>
      </w:r>
      <w:r>
        <w:t xml:space="preserve"> </w:t>
      </w:r>
      <w:r>
        <w:rPr>
          <w:bCs/>
          <w:b/>
        </w:rPr>
        <w:t xml:space="preserve">McMurdie PJ</w:t>
      </w:r>
      <w:r>
        <w:t xml:space="preserve">,</w:t>
      </w:r>
      <w:r>
        <w:t xml:space="preserve"> </w:t>
      </w:r>
      <w:r>
        <w:rPr>
          <w:bCs/>
          <w:b/>
        </w:rPr>
        <w:t xml:space="preserve">Holmes SP</w:t>
      </w:r>
      <w:r>
        <w:t xml:space="preserve">. 2017. Exact sequence variants should replace</w:t>
      </w:r>
      <w:r>
        <w:t xml:space="preserve"> </w:t>
      </w:r>
      <w:r>
        <w:t xml:space="preserve">operational taxonomic units in marker-gene data analysis. The ISME</w:t>
      </w:r>
      <w:r>
        <w:t xml:space="preserve"> </w:t>
      </w:r>
      <w:r>
        <w:t xml:space="preserve">Journal</w:t>
      </w:r>
      <w:r>
        <w:t xml:space="preserve"> </w:t>
      </w:r>
      <w:r>
        <w:rPr>
          <w:bCs/>
          <w:b/>
        </w:rPr>
        <w:t xml:space="preserve">11</w:t>
      </w:r>
      <w:r>
        <w:t xml:space="preserve">:2639–2643.</w:t>
      </w:r>
      <w:r>
        <w:t xml:space="preserve"> </w:t>
      </w:r>
      <w:r>
        <w:t xml:space="preserve">doi:</w:t>
      </w:r>
      <w:hyperlink r:id="rId38">
        <w:r>
          <w:rPr>
            <w:rStyle w:val="Hyperlink"/>
          </w:rPr>
          <w:t xml:space="preserve">10.1038/ismej.2017.119</w:t>
        </w:r>
      </w:hyperlink>
      <w:r>
        <w:t xml:space="preserve">.</w:t>
      </w:r>
    </w:p>
    <w:p>
      <w:pPr>
        <w:pStyle w:val="BodyText"/>
      </w:pPr>
      <w:bookmarkStart w:id="39" w:name="ref-topuxe7uolu2020"/>
      <w:bookmarkEnd w:id="39"/>
    </w:p>
    <w:p>
      <w:pPr>
        <w:pStyle w:val="BodyText"/>
      </w:pPr>
      <w:r>
        <w:t xml:space="preserve">6.</w:t>
      </w:r>
    </w:p>
    <w:p>
      <w:pPr>
        <w:pStyle w:val="BodyText"/>
      </w:pPr>
      <w:r>
        <w:rPr>
          <w:bCs/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Cs/>
          <w:b/>
        </w:rPr>
        <w:t xml:space="preserve">Lesniak NA</w:t>
      </w:r>
      <w:r>
        <w:t xml:space="preserve">,</w:t>
      </w:r>
      <w:r>
        <w:t xml:space="preserve"> </w:t>
      </w:r>
      <w:r>
        <w:rPr>
          <w:bCs/>
          <w:b/>
        </w:rPr>
        <w:t xml:space="preserve">Ruffin MT</w:t>
      </w:r>
      <w:r>
        <w:t xml:space="preserve">,</w:t>
      </w:r>
      <w:r>
        <w:t xml:space="preserve"> </w:t>
      </w:r>
      <w:r>
        <w:rPr>
          <w:bCs/>
          <w:b/>
        </w:rPr>
        <w:t xml:space="preserve">Wiens J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2020. A</w:t>
      </w:r>
      <w:r>
        <w:t xml:space="preserve"> </w:t>
      </w:r>
      <w:r>
        <w:t xml:space="preserve">Framework for Effective Application of Machine Learning to</w:t>
      </w:r>
      <w:r>
        <w:t xml:space="preserve"> </w:t>
      </w:r>
      <w:r>
        <w:t xml:space="preserve">Microbiome-Based Classification Problems. mBio</w:t>
      </w:r>
      <w:r>
        <w:t xml:space="preserve"> </w:t>
      </w:r>
      <w:r>
        <w:rPr>
          <w:bCs/>
          <w:b/>
        </w:rPr>
        <w:t xml:space="preserve">11</w:t>
      </w:r>
      <w:r>
        <w:t xml:space="preserve">.</w:t>
      </w:r>
      <w:r>
        <w:t xml:space="preserve"> </w:t>
      </w:r>
      <w:r>
        <w:t xml:space="preserve">doi:</w:t>
      </w:r>
      <w:hyperlink r:id="rId40">
        <w:r>
          <w:rPr>
            <w:rStyle w:val="Hyperlink"/>
          </w:rPr>
          <w:t xml:space="preserve">10.1128/mBio.00434-20</w:t>
        </w:r>
      </w:hyperlink>
      <w:r>
        <w:t xml:space="preserve">.</w:t>
      </w:r>
    </w:p>
    <w:p>
      <w:pPr>
        <w:pStyle w:val="BodyText"/>
      </w:pPr>
      <w:bookmarkStart w:id="41" w:name="ref-schloss2009"/>
      <w:bookmarkEnd w:id="41"/>
    </w:p>
    <w:p>
      <w:pPr>
        <w:pStyle w:val="BodyText"/>
      </w:pPr>
      <w:r>
        <w:t xml:space="preserve">7.</w:t>
      </w:r>
    </w:p>
    <w:p>
      <w:pPr>
        <w:pStyle w:val="BodyText"/>
      </w:pPr>
      <w:r>
        <w:rPr>
          <w:bCs/>
          <w:b/>
        </w:rPr>
        <w:t xml:space="preserve">Schloss PD</w:t>
      </w:r>
      <w:r>
        <w:t xml:space="preserve">,</w:t>
      </w:r>
      <w:r>
        <w:t xml:space="preserve"> </w:t>
      </w:r>
      <w:r>
        <w:rPr>
          <w:bCs/>
          <w:b/>
        </w:rPr>
        <w:t xml:space="preserve">Westcott SL</w:t>
      </w:r>
      <w:r>
        <w:t xml:space="preserve">,</w:t>
      </w:r>
      <w:r>
        <w:t xml:space="preserve"> </w:t>
      </w:r>
      <w:r>
        <w:rPr>
          <w:bCs/>
          <w:b/>
        </w:rPr>
        <w:t xml:space="preserve">Ryabin T</w:t>
      </w:r>
      <w:r>
        <w:t xml:space="preserve">,</w:t>
      </w:r>
      <w:r>
        <w:t xml:space="preserve"> </w:t>
      </w:r>
      <w:r>
        <w:rPr>
          <w:bCs/>
          <w:b/>
        </w:rPr>
        <w:t xml:space="preserve">Hall JR</w:t>
      </w:r>
      <w:r>
        <w:t xml:space="preserve">,</w:t>
      </w:r>
      <w:r>
        <w:t xml:space="preserve"> </w:t>
      </w:r>
      <w:r>
        <w:rPr>
          <w:bCs/>
          <w:b/>
        </w:rPr>
        <w:t xml:space="preserve">Hartmann M</w:t>
      </w:r>
      <w:r>
        <w:t xml:space="preserve">,</w:t>
      </w:r>
      <w:r>
        <w:t xml:space="preserve"> </w:t>
      </w:r>
      <w:r>
        <w:rPr>
          <w:bCs/>
          <w:b/>
        </w:rPr>
        <w:t xml:space="preserve">Hollister EB</w:t>
      </w:r>
      <w:r>
        <w:t xml:space="preserve">,</w:t>
      </w:r>
      <w:r>
        <w:t xml:space="preserve"> </w:t>
      </w:r>
      <w:r>
        <w:rPr>
          <w:bCs/>
          <w:b/>
        </w:rPr>
        <w:t xml:space="preserve">Lesniewski RA</w:t>
      </w:r>
      <w:r>
        <w:t xml:space="preserve">,</w:t>
      </w:r>
      <w:r>
        <w:t xml:space="preserve"> </w:t>
      </w:r>
      <w:r>
        <w:rPr>
          <w:bCs/>
          <w:b/>
        </w:rPr>
        <w:t xml:space="preserve">Oakley BB</w:t>
      </w:r>
      <w:r>
        <w:t xml:space="preserve">,</w:t>
      </w:r>
      <w:r>
        <w:t xml:space="preserve"> </w:t>
      </w:r>
      <w:r>
        <w:rPr>
          <w:bCs/>
          <w:b/>
        </w:rPr>
        <w:t xml:space="preserve">Parks DH</w:t>
      </w:r>
      <w:r>
        <w:t xml:space="preserve">,</w:t>
      </w:r>
      <w:r>
        <w:t xml:space="preserve"> </w:t>
      </w:r>
      <w:r>
        <w:rPr>
          <w:bCs/>
          <w:b/>
        </w:rPr>
        <w:t xml:space="preserve">Robinson CJ</w:t>
      </w:r>
      <w:r>
        <w:t xml:space="preserve">,</w:t>
      </w:r>
      <w:r>
        <w:t xml:space="preserve"> </w:t>
      </w:r>
      <w:r>
        <w:rPr>
          <w:bCs/>
          <w:b/>
        </w:rPr>
        <w:t xml:space="preserve">Sahl JW</w:t>
      </w:r>
      <w:r>
        <w:t xml:space="preserve">,</w:t>
      </w:r>
      <w:r>
        <w:t xml:space="preserve"> </w:t>
      </w:r>
      <w:r>
        <w:rPr>
          <w:bCs/>
          <w:b/>
        </w:rPr>
        <w:t xml:space="preserve">Stres</w:t>
      </w:r>
      <w:r>
        <w:rPr>
          <w:bCs/>
          <w:b/>
        </w:rPr>
        <w:t xml:space="preserve"> </w:t>
      </w:r>
      <w:r>
        <w:rPr>
          <w:bCs/>
          <w:b/>
        </w:rPr>
        <w:t xml:space="preserve">B</w:t>
      </w:r>
      <w:r>
        <w:t xml:space="preserve">,</w:t>
      </w:r>
      <w:r>
        <w:t xml:space="preserve"> </w:t>
      </w:r>
      <w:r>
        <w:rPr>
          <w:bCs/>
          <w:b/>
        </w:rPr>
        <w:t xml:space="preserve">Thallinger GG</w:t>
      </w:r>
      <w:r>
        <w:t xml:space="preserve">,</w:t>
      </w:r>
      <w:r>
        <w:t xml:space="preserve"> </w:t>
      </w:r>
      <w:r>
        <w:rPr>
          <w:bCs/>
          <w:b/>
        </w:rPr>
        <w:t xml:space="preserve">Van Horn DJ</w:t>
      </w:r>
      <w:r>
        <w:t xml:space="preserve">,</w:t>
      </w:r>
      <w:r>
        <w:t xml:space="preserve"> </w:t>
      </w:r>
      <w:r>
        <w:rPr>
          <w:bCs/>
          <w:b/>
        </w:rPr>
        <w:t xml:space="preserve">Weber CF</w:t>
      </w:r>
      <w:r>
        <w:t xml:space="preserve">.</w:t>
      </w:r>
      <w:r>
        <w:t xml:space="preserve"> </w:t>
      </w:r>
      <w:r>
        <w:t xml:space="preserve">2009. Introducing mothur: Open-source, platform-independent,</w:t>
      </w:r>
      <w:r>
        <w:t xml:space="preserve"> </w:t>
      </w:r>
      <w:r>
        <w:t xml:space="preserve">community-supported software for describing and comparing microbial</w:t>
      </w:r>
      <w:r>
        <w:t xml:space="preserve"> </w:t>
      </w:r>
      <w:r>
        <w:t xml:space="preserve">communities. Applied and Environmental Microbiology</w:t>
      </w:r>
      <w:r>
        <w:t xml:space="preserve"> </w:t>
      </w:r>
      <w:r>
        <w:rPr>
          <w:bCs/>
          <w:b/>
        </w:rPr>
        <w:t xml:space="preserve">75</w:t>
      </w:r>
      <w:r>
        <w:t xml:space="preserve">:7537–7541.</w:t>
      </w:r>
      <w:r>
        <w:t xml:space="preserve"> </w:t>
      </w:r>
      <w:r>
        <w:t xml:space="preserve">doi:</w:t>
      </w:r>
      <w:hyperlink r:id="rId42">
        <w:r>
          <w:rPr>
            <w:rStyle w:val="Hyperlink"/>
          </w:rPr>
          <w:t xml:space="preserve">10.1128/AEM.01541-09</w:t>
        </w:r>
      </w:hyperlink>
      <w:r>
        <w:t xml:space="preserve">.</w:t>
      </w:r>
    </w:p>
    <w:p>
      <w:pPr>
        <w:pStyle w:val="BodyText"/>
      </w:pPr>
      <w:bookmarkStart w:id="43" w:name="ref-topuxe7uolu2021"/>
      <w:bookmarkEnd w:id="43"/>
    </w:p>
    <w:p>
      <w:pPr>
        <w:pStyle w:val="BodyText"/>
      </w:pPr>
      <w:r>
        <w:t xml:space="preserve">8.</w:t>
      </w:r>
    </w:p>
    <w:p>
      <w:pPr>
        <w:pStyle w:val="BodyText"/>
      </w:pPr>
      <w:r>
        <w:rPr>
          <w:bCs/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Cs/>
          <w:b/>
        </w:rPr>
        <w:t xml:space="preserve">Lapp Z</w:t>
      </w:r>
      <w:r>
        <w:t xml:space="preserve">,</w:t>
      </w:r>
      <w:r>
        <w:t xml:space="preserve"> </w:t>
      </w:r>
      <w:r>
        <w:rPr>
          <w:bCs/>
          <w:b/>
        </w:rPr>
        <w:t xml:space="preserve">Sovacool</w:t>
      </w:r>
      <w:r>
        <w:rPr>
          <w:bCs/>
          <w:b/>
        </w:rPr>
        <w:t xml:space="preserve"> </w:t>
      </w:r>
      <w:r>
        <w:rPr>
          <w:bCs/>
          <w:b/>
        </w:rPr>
        <w:t xml:space="preserve">KL</w:t>
      </w:r>
      <w:r>
        <w:t xml:space="preserve">,</w:t>
      </w:r>
      <w:r>
        <w:t xml:space="preserve"> </w:t>
      </w:r>
      <w:r>
        <w:rPr>
          <w:bCs/>
          <w:b/>
        </w:rPr>
        <w:t xml:space="preserve">Snitkin E</w:t>
      </w:r>
      <w:r>
        <w:t xml:space="preserve">,</w:t>
      </w:r>
      <w:r>
        <w:t xml:space="preserve"> </w:t>
      </w:r>
      <w:r>
        <w:rPr>
          <w:bCs/>
          <w:b/>
        </w:rPr>
        <w:t xml:space="preserve">Wiens J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2021.</w:t>
      </w:r>
      <w:r>
        <w:t xml:space="preserve"> </w:t>
      </w:r>
      <w:r>
        <w:t xml:space="preserve">mikropml: User-Friendly R Package for Supervised Machine Learning</w:t>
      </w:r>
      <w:r>
        <w:t xml:space="preserve"> </w:t>
      </w:r>
      <w:r>
        <w:t xml:space="preserve">Pipelines. Journal of Open Source Software</w:t>
      </w:r>
      <w:r>
        <w:t xml:space="preserve"> </w:t>
      </w:r>
      <w:r>
        <w:rPr>
          <w:bCs/>
          <w:b/>
        </w:rPr>
        <w:t xml:space="preserve">6</w:t>
      </w:r>
      <w:r>
        <w:t xml:space="preserve">:3073.</w:t>
      </w:r>
      <w:r>
        <w:t xml:space="preserve"> </w:t>
      </w:r>
      <w:r>
        <w:t xml:space="preserve">doi:</w:t>
      </w:r>
      <w:hyperlink r:id="rId44">
        <w:r>
          <w:rPr>
            <w:rStyle w:val="Hyperlink"/>
          </w:rPr>
          <w:t xml:space="preserve">10.21105/joss.03073</w:t>
        </w:r>
      </w:hyperlink>
      <w:r>
        <w:t xml:space="preserve">.</w:t>
      </w:r>
    </w:p>
    <w:p>
      <w:pPr>
        <w:pStyle w:val="BodyText"/>
      </w:pPr>
      <w:bookmarkStart w:id="45" w:name="ref-lobo2008"/>
      <w:bookmarkEnd w:id="45"/>
    </w:p>
    <w:p>
      <w:pPr>
        <w:pStyle w:val="BodyText"/>
      </w:pPr>
      <w:r>
        <w:t xml:space="preserve">9.</w:t>
      </w:r>
    </w:p>
    <w:p>
      <w:pPr>
        <w:pStyle w:val="BodyText"/>
      </w:pPr>
      <w:r>
        <w:rPr>
          <w:bCs/>
          <w:b/>
        </w:rPr>
        <w:t xml:space="preserve">Lobo JM</w:t>
      </w:r>
      <w:r>
        <w:t xml:space="preserve">,</w:t>
      </w:r>
      <w:r>
        <w:t xml:space="preserve"> </w:t>
      </w:r>
      <w:r>
        <w:rPr>
          <w:bCs/>
          <w:b/>
        </w:rPr>
        <w:t xml:space="preserve">Jiménez-Valverde A</w:t>
      </w:r>
      <w:r>
        <w:t xml:space="preserve">,</w:t>
      </w:r>
      <w:r>
        <w:t xml:space="preserve"> </w:t>
      </w:r>
      <w:r>
        <w:rPr>
          <w:bCs/>
          <w:b/>
        </w:rPr>
        <w:t xml:space="preserve">Real R</w:t>
      </w:r>
      <w:r>
        <w:t xml:space="preserve">. 2008. AUC: a misleading measure of the performance of</w:t>
      </w:r>
      <w:r>
        <w:t xml:space="preserve"> </w:t>
      </w:r>
      <w:r>
        <w:t xml:space="preserve">predictive distribution models. Global Ecology and Biogeography</w:t>
      </w:r>
      <w:r>
        <w:t xml:space="preserve"> </w:t>
      </w:r>
      <w:r>
        <w:rPr>
          <w:bCs/>
          <w:b/>
        </w:rPr>
        <w:t xml:space="preserve">17</w:t>
      </w:r>
      <w:r>
        <w:t xml:space="preserve">:145–151.</w:t>
      </w:r>
      <w:r>
        <w:t xml:space="preserve"> </w:t>
      </w:r>
      <w:r>
        <w:t xml:space="preserve">doi:</w:t>
      </w:r>
      <w:hyperlink r:id="rId46">
        <w:r>
          <w:rPr>
            <w:rStyle w:val="Hyperlink"/>
          </w:rPr>
          <w:t xml:space="preserve">10.1111/j.1466-8238.2007.00358.x</w:t>
        </w:r>
      </w:hyperlink>
      <w:r>
        <w:t xml:space="preserve">.</w:t>
      </w:r>
    </w:p>
    <w:p>
      <w:pPr>
        <w:pStyle w:val="BodyText"/>
      </w:pPr>
      <w:bookmarkStart w:id="47" w:name="ref-eren2013"/>
      <w:bookmarkEnd w:id="47"/>
    </w:p>
    <w:p>
      <w:pPr>
        <w:pStyle w:val="BodyText"/>
      </w:pPr>
      <w:r>
        <w:t xml:space="preserve">10.</w:t>
      </w:r>
    </w:p>
    <w:p>
      <w:pPr>
        <w:pStyle w:val="BodyText"/>
      </w:pPr>
      <w:r>
        <w:rPr>
          <w:bCs/>
          <w:b/>
        </w:rPr>
        <w:t xml:space="preserve">Eren AM</w:t>
      </w:r>
      <w:r>
        <w:t xml:space="preserve">,</w:t>
      </w:r>
      <w:r>
        <w:t xml:space="preserve"> </w:t>
      </w:r>
      <w:r>
        <w:rPr>
          <w:bCs/>
          <w:b/>
        </w:rPr>
        <w:t xml:space="preserve">Maignien L</w:t>
      </w:r>
      <w:r>
        <w:t xml:space="preserve">,</w:t>
      </w:r>
      <w:r>
        <w:t xml:space="preserve"> </w:t>
      </w:r>
      <w:r>
        <w:rPr>
          <w:bCs/>
          <w:b/>
        </w:rPr>
        <w:t xml:space="preserve">Sul WJ</w:t>
      </w:r>
      <w:r>
        <w:t xml:space="preserve">,</w:t>
      </w:r>
      <w:r>
        <w:t xml:space="preserve"> </w:t>
      </w:r>
      <w:r>
        <w:rPr>
          <w:bCs/>
          <w:b/>
        </w:rPr>
        <w:t xml:space="preserve">Murphy LG</w:t>
      </w:r>
      <w:r>
        <w:t xml:space="preserve">,</w:t>
      </w:r>
      <w:r>
        <w:t xml:space="preserve"> </w:t>
      </w:r>
      <w:r>
        <w:rPr>
          <w:bCs/>
          <w:b/>
        </w:rPr>
        <w:t xml:space="preserve">Grim SL</w:t>
      </w:r>
      <w:r>
        <w:t xml:space="preserve">,</w:t>
      </w:r>
      <w:r>
        <w:t xml:space="preserve"> </w:t>
      </w:r>
      <w:r>
        <w:rPr>
          <w:bCs/>
          <w:b/>
        </w:rPr>
        <w:t xml:space="preserve">Morrison HG</w:t>
      </w:r>
      <w:r>
        <w:t xml:space="preserve">,</w:t>
      </w:r>
      <w:r>
        <w:t xml:space="preserve"> </w:t>
      </w:r>
      <w:r>
        <w:rPr>
          <w:bCs/>
          <w:b/>
        </w:rPr>
        <w:t xml:space="preserve">Sogin ML</w:t>
      </w:r>
      <w:r>
        <w:t xml:space="preserve">. 2013. Oligotyping: differentiating between closely</w:t>
      </w:r>
      <w:r>
        <w:t xml:space="preserve"> </w:t>
      </w:r>
      <w:r>
        <w:t xml:space="preserve">related microbial taxa using 16S rRNA gene data. Methods in Ecology and</w:t>
      </w:r>
      <w:r>
        <w:t xml:space="preserve"> </w:t>
      </w:r>
      <w:r>
        <w:t xml:space="preserve">Evolution</w:t>
      </w:r>
      <w:r>
        <w:t xml:space="preserve"> </w:t>
      </w:r>
      <w:r>
        <w:rPr>
          <w:bCs/>
          <w:b/>
        </w:rPr>
        <w:t xml:space="preserve">4</w:t>
      </w:r>
      <w:r>
        <w:t xml:space="preserve">:1111–1119.</w:t>
      </w:r>
      <w:r>
        <w:t xml:space="preserve"> </w:t>
      </w:r>
      <w:r>
        <w:t xml:space="preserve">doi:</w:t>
      </w:r>
      <w:hyperlink r:id="rId48">
        <w:r>
          <w:rPr>
            <w:rStyle w:val="Hyperlink"/>
          </w:rPr>
          <w:t xml:space="preserve">10.1111/2041-210X.12114</w:t>
        </w:r>
      </w:hyperlink>
      <w:r>
        <w:t xml:space="preserve">.</w:t>
      </w:r>
    </w:p>
    <w:p>
      <w:pPr>
        <w:pStyle w:val="BodyText"/>
      </w:pPr>
      <w:bookmarkStart w:id="49" w:name="ref-eren2015"/>
      <w:bookmarkEnd w:id="49"/>
    </w:p>
    <w:p>
      <w:pPr>
        <w:pStyle w:val="BodyText"/>
      </w:pPr>
      <w:r>
        <w:t xml:space="preserve">11.</w:t>
      </w:r>
    </w:p>
    <w:p>
      <w:pPr>
        <w:pStyle w:val="BodyText"/>
      </w:pPr>
      <w:r>
        <w:rPr>
          <w:bCs/>
          <w:b/>
        </w:rPr>
        <w:t xml:space="preserve">Eren AM</w:t>
      </w:r>
      <w:r>
        <w:t xml:space="preserve">,</w:t>
      </w:r>
      <w:r>
        <w:t xml:space="preserve"> </w:t>
      </w:r>
      <w:r>
        <w:rPr>
          <w:bCs/>
          <w:b/>
        </w:rPr>
        <w:t xml:space="preserve">Morrison HG</w:t>
      </w:r>
      <w:r>
        <w:t xml:space="preserve">,</w:t>
      </w:r>
      <w:r>
        <w:t xml:space="preserve"> </w:t>
      </w:r>
      <w:r>
        <w:rPr>
          <w:bCs/>
          <w:b/>
        </w:rPr>
        <w:t xml:space="preserve">Lescault</w:t>
      </w:r>
      <w:r>
        <w:rPr>
          <w:bCs/>
          <w:b/>
        </w:rPr>
        <w:t xml:space="preserve"> </w:t>
      </w:r>
      <w:r>
        <w:rPr>
          <w:bCs/>
          <w:b/>
        </w:rPr>
        <w:t xml:space="preserve">PJ</w:t>
      </w:r>
      <w:r>
        <w:t xml:space="preserve">,</w:t>
      </w:r>
      <w:r>
        <w:t xml:space="preserve"> </w:t>
      </w:r>
      <w:r>
        <w:rPr>
          <w:bCs/>
          <w:b/>
        </w:rPr>
        <w:t xml:space="preserve">Reveillaud J</w:t>
      </w:r>
      <w:r>
        <w:t xml:space="preserve">,</w:t>
      </w:r>
      <w:r>
        <w:t xml:space="preserve"> </w:t>
      </w:r>
      <w:r>
        <w:rPr>
          <w:bCs/>
          <w:b/>
        </w:rPr>
        <w:t xml:space="preserve">Vineis JH</w:t>
      </w:r>
      <w:r>
        <w:t xml:space="preserve">,</w:t>
      </w:r>
      <w:r>
        <w:t xml:space="preserve"> </w:t>
      </w:r>
      <w:r>
        <w:rPr>
          <w:bCs/>
          <w:b/>
        </w:rPr>
        <w:t xml:space="preserve">Sogin ML</w:t>
      </w:r>
      <w:r>
        <w:t xml:space="preserve">. 2015.</w:t>
      </w:r>
      <w:r>
        <w:t xml:space="preserve"> </w:t>
      </w:r>
      <w:r>
        <w:t xml:space="preserve">Minimum entropy decomposition: Unsupervised oligotyping for sensitive</w:t>
      </w:r>
      <w:r>
        <w:t xml:space="preserve"> </w:t>
      </w:r>
      <w:r>
        <w:t xml:space="preserve">partitioning of high-throughput marker gene sequences. The ISME Journal</w:t>
      </w:r>
      <w:r>
        <w:t xml:space="preserve"> </w:t>
      </w:r>
      <w:r>
        <w:rPr>
          <w:bCs/>
          <w:b/>
        </w:rPr>
        <w:t xml:space="preserve">9</w:t>
      </w:r>
      <w:r>
        <w:t xml:space="preserve">:968–979.</w:t>
      </w:r>
      <w:r>
        <w:t xml:space="preserve"> </w:t>
      </w:r>
      <w:r>
        <w:t xml:space="preserve">doi:</w:t>
      </w:r>
      <w:hyperlink r:id="rId50">
        <w:r>
          <w:rPr>
            <w:rStyle w:val="Hyperlink"/>
          </w:rPr>
          <w:t xml:space="preserve">10.1038/ismej.2014.195</w:t>
        </w:r>
      </w:hyperlink>
      <w:r>
        <w:t xml:space="preserve">.</w:t>
      </w:r>
    </w:p>
    <w:p>
      <w:pPr>
        <w:pStyle w:val="BodyText"/>
      </w:pPr>
      <w:bookmarkStart w:id="51" w:name="ref-schloss"/>
      <w:bookmarkEnd w:id="51"/>
    </w:p>
    <w:p>
      <w:pPr>
        <w:pStyle w:val="BodyText"/>
      </w:pPr>
      <w:r>
        <w:t xml:space="preserve">12.</w:t>
      </w:r>
    </w:p>
    <w:p>
      <w:pPr>
        <w:pStyle w:val="BodyText"/>
      </w:pPr>
      <w:r>
        <w:rPr>
          <w:bCs/>
          <w:b/>
        </w:rPr>
        <w:t xml:space="preserve">Schloss PD</w:t>
      </w:r>
      <w:r>
        <w:t xml:space="preserve">. Amplicon sequence variants</w:t>
      </w:r>
      <w:r>
        <w:t xml:space="preserve"> </w:t>
      </w:r>
      <w:r>
        <w:t xml:space="preserve">artificially split bacterial genomes into separate clusters. mSphere</w:t>
      </w:r>
      <w:r>
        <w:t xml:space="preserve"> </w:t>
      </w:r>
      <w:r>
        <w:rPr>
          <w:bCs/>
          <w:b/>
        </w:rPr>
        <w:t xml:space="preserve">6</w:t>
      </w:r>
      <w:r>
        <w:t xml:space="preserve">:e00191–21.</w:t>
      </w:r>
      <w:r>
        <w:t xml:space="preserve"> </w:t>
      </w:r>
      <w:r>
        <w:t xml:space="preserve">doi:</w:t>
      </w:r>
      <w:hyperlink r:id="rId52">
        <w:r>
          <w:rPr>
            <w:rStyle w:val="Hyperlink"/>
          </w:rPr>
          <w:t xml:space="preserve">10.1128/mSphere.00191-21</w:t>
        </w:r>
      </w:hyperlink>
      <w:r>
        <w:t xml:space="preserve">.</w:t>
      </w:r>
    </w:p>
    <w:p>
      <w:pPr>
        <w:pStyle w:val="BodyText"/>
      </w:pPr>
      <w:bookmarkStart w:id="53" w:name="ref-baxter2016"/>
      <w:bookmarkEnd w:id="53"/>
    </w:p>
    <w:p>
      <w:pPr>
        <w:pStyle w:val="BodyText"/>
      </w:pPr>
      <w:r>
        <w:t xml:space="preserve">13.</w:t>
      </w:r>
    </w:p>
    <w:p>
      <w:pPr>
        <w:pStyle w:val="BodyText"/>
      </w:pPr>
      <w:r>
        <w:rPr>
          <w:bCs/>
          <w:b/>
        </w:rPr>
        <w:t xml:space="preserve">Baxter NT</w:t>
      </w:r>
      <w:r>
        <w:t xml:space="preserve">,</w:t>
      </w:r>
      <w:r>
        <w:t xml:space="preserve"> </w:t>
      </w:r>
      <w:r>
        <w:rPr>
          <w:bCs/>
          <w:b/>
        </w:rPr>
        <w:t xml:space="preserve">Ruffin MT</w:t>
      </w:r>
      <w:r>
        <w:t xml:space="preserve">,</w:t>
      </w:r>
      <w:r>
        <w:t xml:space="preserve"> </w:t>
      </w:r>
      <w:r>
        <w:rPr>
          <w:bCs/>
          <w:b/>
        </w:rPr>
        <w:t xml:space="preserve">Rogers</w:t>
      </w:r>
      <w:r>
        <w:rPr>
          <w:bCs/>
          <w:b/>
        </w:rPr>
        <w:t xml:space="preserve"> </w:t>
      </w:r>
      <w:r>
        <w:rPr>
          <w:bCs/>
          <w:b/>
        </w:rPr>
        <w:t xml:space="preserve">MAM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2016. Microbiota-based model improves the</w:t>
      </w:r>
      <w:r>
        <w:t xml:space="preserve"> </w:t>
      </w:r>
      <w:r>
        <w:t xml:space="preserve">sensitivity of fecal immunochemical test for detecting colonic lesions.</w:t>
      </w:r>
      <w:r>
        <w:t xml:space="preserve"> </w:t>
      </w:r>
      <w:r>
        <w:t xml:space="preserve">Genome Medicine</w:t>
      </w:r>
      <w:r>
        <w:t xml:space="preserve"> </w:t>
      </w:r>
      <w:r>
        <w:rPr>
          <w:bCs/>
          <w:b/>
        </w:rPr>
        <w:t xml:space="preserve">8</w:t>
      </w:r>
      <w:r>
        <w:t xml:space="preserve">:37.</w:t>
      </w:r>
      <w:r>
        <w:t xml:space="preserve"> </w:t>
      </w:r>
      <w:r>
        <w:t xml:space="preserve">doi:</w:t>
      </w:r>
      <w:hyperlink r:id="rId54">
        <w:r>
          <w:rPr>
            <w:rStyle w:val="Hyperlink"/>
          </w:rPr>
          <w:t xml:space="preserve">10.1186/s13073-016-0290-3</w:t>
        </w:r>
      </w:hyperlink>
      <w:r>
        <w:t xml:space="preserve">.</w:t>
      </w:r>
    </w:p>
    <w:p>
      <w:pPr>
        <w:pStyle w:val="BodyText"/>
      </w:pPr>
      <w:bookmarkStart w:id="55" w:name="ref-quast2013"/>
      <w:bookmarkEnd w:id="55"/>
    </w:p>
    <w:p>
      <w:pPr>
        <w:pStyle w:val="BodyText"/>
      </w:pPr>
      <w:r>
        <w:t xml:space="preserve">14.</w:t>
      </w:r>
    </w:p>
    <w:p>
      <w:pPr>
        <w:pStyle w:val="BodyText"/>
      </w:pPr>
      <w:r>
        <w:rPr>
          <w:bCs/>
          <w:b/>
        </w:rPr>
        <w:t xml:space="preserve">Quast C</w:t>
      </w:r>
      <w:r>
        <w:t xml:space="preserve">,</w:t>
      </w:r>
      <w:r>
        <w:t xml:space="preserve"> </w:t>
      </w:r>
      <w:r>
        <w:rPr>
          <w:bCs/>
          <w:b/>
        </w:rPr>
        <w:t xml:space="preserve">Pruesse E</w:t>
      </w:r>
      <w:r>
        <w:t xml:space="preserve">,</w:t>
      </w:r>
      <w:r>
        <w:t xml:space="preserve"> </w:t>
      </w:r>
      <w:r>
        <w:rPr>
          <w:bCs/>
          <w:b/>
        </w:rPr>
        <w:t xml:space="preserve">Yilmaz P</w:t>
      </w:r>
      <w:r>
        <w:t xml:space="preserve">,</w:t>
      </w:r>
      <w:r>
        <w:t xml:space="preserve"> </w:t>
      </w:r>
      <w:r>
        <w:rPr>
          <w:bCs/>
          <w:b/>
        </w:rPr>
        <w:t xml:space="preserve">Gerken J</w:t>
      </w:r>
      <w:r>
        <w:t xml:space="preserve">,</w:t>
      </w:r>
      <w:r>
        <w:t xml:space="preserve"> </w:t>
      </w:r>
      <w:r>
        <w:rPr>
          <w:bCs/>
          <w:b/>
        </w:rPr>
        <w:t xml:space="preserve">Schweer T</w:t>
      </w:r>
      <w:r>
        <w:t xml:space="preserve">,</w:t>
      </w:r>
      <w:r>
        <w:t xml:space="preserve"> </w:t>
      </w:r>
      <w:r>
        <w:rPr>
          <w:bCs/>
          <w:b/>
        </w:rPr>
        <w:t xml:space="preserve">Yarza P</w:t>
      </w:r>
      <w:r>
        <w:t xml:space="preserve">,</w:t>
      </w:r>
      <w:r>
        <w:t xml:space="preserve"> </w:t>
      </w:r>
      <w:r>
        <w:rPr>
          <w:bCs/>
          <w:b/>
        </w:rPr>
        <w:t xml:space="preserve">Peplies</w:t>
      </w:r>
      <w:r>
        <w:rPr>
          <w:bCs/>
          <w:b/>
        </w:rPr>
        <w:t xml:space="preserve"> </w:t>
      </w:r>
      <w:r>
        <w:rPr>
          <w:bCs/>
          <w:b/>
        </w:rPr>
        <w:t xml:space="preserve">J</w:t>
      </w:r>
      <w:r>
        <w:t xml:space="preserve">,</w:t>
      </w:r>
      <w:r>
        <w:t xml:space="preserve"> </w:t>
      </w:r>
      <w:r>
        <w:rPr>
          <w:bCs/>
          <w:b/>
        </w:rPr>
        <w:t xml:space="preserve">Glöckner FO</w:t>
      </w:r>
      <w:r>
        <w:t xml:space="preserve">. 2013. The SILVA ribosomal RNA gene database</w:t>
      </w:r>
      <w:r>
        <w:t xml:space="preserve"> </w:t>
      </w:r>
      <w:r>
        <w:t xml:space="preserve">project: Improved data processing and web-based tools. Nucleic Acids</w:t>
      </w:r>
      <w:r>
        <w:t xml:space="preserve"> </w:t>
      </w:r>
      <w:r>
        <w:t xml:space="preserve">Research</w:t>
      </w:r>
      <w:r>
        <w:t xml:space="preserve"> </w:t>
      </w:r>
      <w:r>
        <w:rPr>
          <w:bCs/>
          <w:b/>
        </w:rPr>
        <w:t xml:space="preserve">41</w:t>
      </w:r>
      <w:r>
        <w:t xml:space="preserve">:D590–D596.</w:t>
      </w:r>
      <w:r>
        <w:t xml:space="preserve"> </w:t>
      </w:r>
      <w:r>
        <w:t xml:space="preserve">doi:</w:t>
      </w:r>
      <w:hyperlink r:id="rId56">
        <w:r>
          <w:rPr>
            <w:rStyle w:val="Hyperlink"/>
          </w:rPr>
          <w:t xml:space="preserve">10.1093/nar/gks1219</w:t>
        </w:r>
      </w:hyperlink>
      <w:r>
        <w:t xml:space="preserve">.</w:t>
      </w:r>
    </w:p>
    <w:p>
      <w:pPr>
        <w:pStyle w:val="BodyText"/>
      </w:pPr>
      <w:bookmarkStart w:id="57" w:name="ref-callahan2016"/>
      <w:bookmarkEnd w:id="57"/>
    </w:p>
    <w:p>
      <w:pPr>
        <w:pStyle w:val="BodyText"/>
      </w:pPr>
      <w:r>
        <w:t xml:space="preserve">15.</w:t>
      </w:r>
    </w:p>
    <w:p>
      <w:pPr>
        <w:pStyle w:val="BodyText"/>
      </w:pPr>
      <w:r>
        <w:rPr>
          <w:bCs/>
          <w:b/>
        </w:rPr>
        <w:t xml:space="preserve">Callahan BJ</w:t>
      </w:r>
      <w:r>
        <w:t xml:space="preserve">,</w:t>
      </w:r>
      <w:r>
        <w:t xml:space="preserve"> </w:t>
      </w:r>
      <w:r>
        <w:rPr>
          <w:bCs/>
          <w:b/>
        </w:rPr>
        <w:t xml:space="preserve">McMurdie PJ</w:t>
      </w:r>
      <w:r>
        <w:t xml:space="preserve">,</w:t>
      </w:r>
      <w:r>
        <w:t xml:space="preserve"> </w:t>
      </w:r>
      <w:r>
        <w:rPr>
          <w:bCs/>
          <w:b/>
        </w:rPr>
        <w:t xml:space="preserve">Rosen MJ</w:t>
      </w:r>
      <w:r>
        <w:t xml:space="preserve">,</w:t>
      </w:r>
      <w:r>
        <w:t xml:space="preserve"> </w:t>
      </w:r>
      <w:r>
        <w:rPr>
          <w:bCs/>
          <w:b/>
        </w:rPr>
        <w:t xml:space="preserve">Han AW</w:t>
      </w:r>
      <w:r>
        <w:t xml:space="preserve">,</w:t>
      </w:r>
      <w:r>
        <w:t xml:space="preserve"> </w:t>
      </w:r>
      <w:r>
        <w:rPr>
          <w:bCs/>
          <w:b/>
        </w:rPr>
        <w:t xml:space="preserve">Johnson AJA</w:t>
      </w:r>
      <w:r>
        <w:t xml:space="preserve">,</w:t>
      </w:r>
      <w:r>
        <w:t xml:space="preserve"> </w:t>
      </w:r>
      <w:r>
        <w:rPr>
          <w:bCs/>
          <w:b/>
        </w:rPr>
        <w:t xml:space="preserve">Holmes</w:t>
      </w:r>
      <w:r>
        <w:rPr>
          <w:bCs/>
          <w:b/>
        </w:rPr>
        <w:t xml:space="preserve"> </w:t>
      </w:r>
      <w:r>
        <w:rPr>
          <w:bCs/>
          <w:b/>
        </w:rPr>
        <w:t xml:space="preserve">SP</w:t>
      </w:r>
      <w:r>
        <w:t xml:space="preserve">. 2016. DADA2: High-resolution sample inference from Illumina</w:t>
      </w:r>
      <w:r>
        <w:t xml:space="preserve"> </w:t>
      </w:r>
      <w:r>
        <w:t xml:space="preserve">amplicon data. Nature Methods</w:t>
      </w:r>
      <w:r>
        <w:t xml:space="preserve"> </w:t>
      </w:r>
      <w:r>
        <w:rPr>
          <w:bCs/>
          <w:b/>
        </w:rPr>
        <w:t xml:space="preserve">13</w:t>
      </w:r>
      <w:r>
        <w:t xml:space="preserve">:581–583.</w:t>
      </w:r>
      <w:r>
        <w:t xml:space="preserve"> </w:t>
      </w:r>
      <w:r>
        <w:t xml:space="preserve">doi:</w:t>
      </w:r>
      <w:hyperlink r:id="rId58">
        <w:r>
          <w:rPr>
            <w:rStyle w:val="Hyperlink"/>
          </w:rPr>
          <w:t xml:space="preserve">10.1038/nmeth.3869</w:t>
        </w:r>
      </w:hyperlink>
      <w:r>
        <w:t xml:space="preserve">.</w:t>
      </w:r>
    </w:p>
    <w:bookmarkStart w:id="59" w:name="tables"/>
    <w:p>
      <w:pPr>
        <w:pStyle w:val="Heading3"/>
      </w:pPr>
      <w:r>
        <w:t xml:space="preserve">Tables</w:t>
      </w:r>
    </w:p>
    <w:bookmarkEnd w:id="59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Taxonomic Level</w:t>
            </w:r>
          </w:p>
        </w:tc>
        <w:tc>
          <w:p>
            <w:pPr>
              <w:pStyle w:val="Compact"/>
              <w:jc w:val="right"/>
            </w:pPr>
            <w:r>
              <w:t xml:space="preserve">Number of Features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Preprocessing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Preprocessing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Phylum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47.4 %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52.8 %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43.1 %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43.5 %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center"/>
            </w:pPr>
            <w:r>
              <w:t xml:space="preserve">36.4 %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OTU</w:t>
            </w:r>
          </w:p>
        </w:tc>
        <w:tc>
          <w:p>
            <w:pPr>
              <w:pStyle w:val="Compact"/>
              <w:jc w:val="right"/>
            </w:pPr>
            <w:r>
              <w:t xml:space="preserve">20,079</w:t>
            </w:r>
          </w:p>
        </w:tc>
        <w:tc>
          <w:p>
            <w:pPr>
              <w:pStyle w:val="Compact"/>
              <w:jc w:val="right"/>
            </w:pPr>
            <w:r>
              <w:t xml:space="preserve">705</w:t>
            </w:r>
          </w:p>
        </w:tc>
        <w:tc>
          <w:p>
            <w:pPr>
              <w:pStyle w:val="Compact"/>
              <w:jc w:val="center"/>
            </w:pPr>
            <w:r>
              <w:t xml:space="preserve">3.5 %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ASV</w:t>
            </w:r>
          </w:p>
        </w:tc>
        <w:tc>
          <w:p>
            <w:pPr>
              <w:pStyle w:val="Compact"/>
              <w:jc w:val="right"/>
            </w:pPr>
            <w:r>
              <w:t xml:space="preserve">104,106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center"/>
            </w:pPr>
            <w:r>
              <w:t xml:space="preserve">0.5 %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1: Summary of Features.</w:t>
      </w:r>
      <w:r>
        <w:t xml:space="preserve"> </w:t>
      </w:r>
      <w:r>
        <w:t xml:space="preserve">Overview of the number of</w:t>
      </w:r>
      <w:r>
        <w:t xml:space="preserve"> </w:t>
      </w:r>
      <w:r>
        <w:t xml:space="preserve">features at each taxonomic level before and after preprocessing as</w:t>
      </w:r>
      <w:r>
        <w:t xml:space="preserve"> </w:t>
      </w:r>
      <w:r>
        <w:t xml:space="preserve">described in the methods.</w:t>
      </w:r>
    </w:p>
    <w:bookmarkStart w:id="60" w:name="figure-legends"/>
    <w:p>
      <w:pPr>
        <w:pStyle w:val="Heading3"/>
      </w:pPr>
      <w:r>
        <w:t xml:space="preserve">Figure Legends</w:t>
      </w:r>
    </w:p>
    <w:bookmarkEnd w:id="60"/>
    <w:p>
      <w:pPr>
        <w:pStyle w:val="FirstParagraph"/>
      </w:pPr>
      <w:r>
        <w:rPr>
          <w:bCs/>
          <w:b/>
        </w:rPr>
        <w:t xml:space="preserve">Figure 1: Random Forest Model Performance.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Strip</w:t>
      </w:r>
      <w:r>
        <w:t xml:space="preserve"> </w:t>
      </w:r>
      <w:r>
        <w:t xml:space="preserve">plot of the area under the receiver operating characteristic curve</w:t>
      </w:r>
      <w:r>
        <w:t xml:space="preserve"> </w:t>
      </w:r>
      <w:r>
        <w:t xml:space="preserve">(AUROC) values on the test dataset for 100 seeds predicting SRNs using a</w:t>
      </w:r>
      <w:r>
        <w:t xml:space="preserve"> </w:t>
      </w:r>
      <w:r>
        <w:t xml:space="preserve">random forest model. Black points denote the mean and lines denote the</w:t>
      </w:r>
      <w:r>
        <w:t xml:space="preserve"> </w:t>
      </w:r>
      <w:r>
        <w:t xml:space="preserve">standard deviation. Dashed line denotes AUROC of 0.5 which is equivalent</w:t>
      </w:r>
      <w:r>
        <w:t xml:space="preserve"> </w:t>
      </w:r>
      <w:r>
        <w:t xml:space="preserve">to random classification. Significance between taxonomic levels was</w:t>
      </w:r>
      <w:r>
        <w:t xml:space="preserve"> </w:t>
      </w:r>
      <w:r>
        <w:t xml:space="preserve">quantified by comparing the difference in mean AUROC and is denoted by</w:t>
      </w:r>
      <w:r>
        <w:t xml:space="preserve"> </w:t>
      </w:r>
      <w:r>
        <w:t xml:space="preserve">letters A through E on the right side of the plot; taxonomic levels with</w:t>
      </w:r>
      <w:r>
        <w:t xml:space="preserve"> </w:t>
      </w:r>
      <w:r>
        <w:t xml:space="preserve">the same letter are in the same significance group and are not</w:t>
      </w:r>
      <w:r>
        <w:t xml:space="preserve"> </w:t>
      </w:r>
      <w:r>
        <w:t xml:space="preserve">significantly different from one another.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Strip plot of the</w:t>
      </w:r>
      <w:r>
        <w:t xml:space="preserve"> </w:t>
      </w:r>
      <w:r>
        <w:t xml:space="preserve">sensitivity at a specificity of 90% across the 100 model iterations for</w:t>
      </w:r>
      <w:r>
        <w:t xml:space="preserve"> </w:t>
      </w:r>
      <w:r>
        <w:t xml:space="preserve">each taxonomic level. Black points denote the mean and the lines denote</w:t>
      </w:r>
      <w:r>
        <w:t xml:space="preserve"> </w:t>
      </w:r>
      <w:r>
        <w:t xml:space="preserve">the standard deviation. The letters W through Z on the right side of the</w:t>
      </w:r>
      <w:r>
        <w:t xml:space="preserve"> </w:t>
      </w:r>
      <w:r>
        <w:t xml:space="preserve">plot denote the significance groups.</w:t>
      </w:r>
    </w:p>
    <w:bookmarkStart w:id="61" w:name="supplemental-figure-legends"/>
    <w:p>
      <w:pPr>
        <w:pStyle w:val="Heading3"/>
      </w:pPr>
      <w:r>
        <w:t xml:space="preserve">Supplemental Figure</w:t>
      </w:r>
      <w:r>
        <w:t xml:space="preserve"> </w:t>
      </w:r>
      <w:r>
        <w:t xml:space="preserve">Legends</w:t>
      </w:r>
    </w:p>
    <w:bookmarkEnd w:id="61"/>
    <w:p>
      <w:pPr>
        <w:pStyle w:val="FirstParagraph"/>
      </w:pPr>
      <w:r>
        <w:rPr>
          <w:bCs/>
          <w:b/>
        </w:rPr>
        <w:t xml:space="preserve">Supplemental Figure 1: Model Performance across Taxonomy.</w:t>
      </w:r>
      <w:r>
        <w:t xml:space="preserve"> </w:t>
      </w:r>
      <w:r>
        <w:t xml:space="preserve">Boxplots of AUROC values from predicting whether samples came from</w:t>
      </w:r>
      <w:r>
        <w:t xml:space="preserve"> </w:t>
      </w:r>
      <w:r>
        <w:t xml:space="preserve">subjects with screen relevant neoplasias (i.e. advanced adenoma or</w:t>
      </w:r>
      <w:r>
        <w:t xml:space="preserve"> </w:t>
      </w:r>
      <w:r>
        <w:t xml:space="preserve">cancer) or healthy controls across five machine learning methods</w:t>
      </w:r>
      <w:r>
        <w:t xml:space="preserve"> </w:t>
      </w:r>
      <w:r>
        <w:t xml:space="preserve">including random forest, L2-regularized logistic regression (logistic</w:t>
      </w:r>
      <w:r>
        <w:t xml:space="preserve"> </w:t>
      </w:r>
      <w:r>
        <w:t xml:space="preserve">regression), decision tree, gradient boosted trees (XGBoost), and</w:t>
      </w:r>
      <w:r>
        <w:t xml:space="preserve"> </w:t>
      </w:r>
      <w:r>
        <w:t xml:space="preserve">support vector machine with radial basis kernel (SVM radial). Due to the</w:t>
      </w:r>
      <w:r>
        <w:t xml:space="preserve"> </w:t>
      </w:r>
      <w:r>
        <w:t xml:space="preserve">random split of data into training and testing sets, each model was run</w:t>
      </w:r>
      <w:r>
        <w:t xml:space="preserve"> </w:t>
      </w:r>
      <w:r>
        <w:t xml:space="preserve">across 100 seeds to account for variation in training/test datasplits.</w:t>
      </w:r>
    </w:p>
    <w:p>
      <w:pPr>
        <w:pStyle w:val="BodyText"/>
      </w:pPr>
      <w:r>
        <w:rPr>
          <w:bCs/>
          <w:b/>
        </w:rPr>
        <w:t xml:space="preserve">Supplemental Figure 2: Averaged ROC curves.</w:t>
      </w:r>
      <w:r>
        <w:t xml:space="preserve"> </w:t>
      </w:r>
      <w:r>
        <w:t xml:space="preserve">ROC curves with</w:t>
      </w:r>
      <w:r>
        <w:t xml:space="preserve"> </w:t>
      </w:r>
      <w:r>
        <w:t xml:space="preserve">averaged true positive rate (or sensitivity) across the 100 iterations</w:t>
      </w:r>
      <w:r>
        <w:t xml:space="preserve"> </w:t>
      </w:r>
      <w:r>
        <w:t xml:space="preserve">of the random forest model. The shaded region represents the standard</w:t>
      </w:r>
      <w:r>
        <w:t xml:space="preserve"> </w:t>
      </w:r>
      <w:r>
        <w:t xml:space="preserve">deviation form the mean. Dashed line represents an AUROC of 0.5, which</w:t>
      </w:r>
      <w:r>
        <w:t xml:space="preserve"> </w:t>
      </w:r>
      <w:r>
        <w:t xml:space="preserve">is equivalent to random classification. The mean AUROC for each</w:t>
      </w:r>
      <w:r>
        <w:t xml:space="preserve"> </w:t>
      </w:r>
      <w:r>
        <w:t xml:space="preserve">taxonomic level is printed on the bottom right of the plot.</w:t>
      </w:r>
    </w:p>
    <w:p>
      <w:pPr>
        <w:pStyle w:val="BodyText"/>
      </w:pPr>
      <w:r>
        <w:rPr>
          <w:bCs/>
          <w:b/>
        </w:rPr>
        <w:t xml:space="preserve">Supplemental Figure 3: Prevalence of Taxa in Samples.</w:t>
      </w:r>
      <w:r>
        <w:t xml:space="preserve"> </w:t>
      </w:r>
      <w:r>
        <w:t xml:space="preserve">Distribution of the prevalence of taxa across samples at each taxonomic</w:t>
      </w:r>
      <w:r>
        <w:t xml:space="preserve"> </w:t>
      </w:r>
      <w:r>
        <w:t xml:space="preserve">level. Percent of samples is split into 10 groups where the first is for</w:t>
      </w:r>
      <w:r>
        <w:t xml:space="preserve"> </w:t>
      </w:r>
      <w:r>
        <w:t xml:space="preserve">taxa present in 0 to 10% of samples, then &gt;10% to 20% of</w:t>
      </w:r>
      <w:r>
        <w:t xml:space="preserve"> </w:t>
      </w:r>
      <w:r>
        <w:t xml:space="preserve">samples, and so on. The total number of taxa for each taxonomic level</w:t>
      </w:r>
      <w:r>
        <w:t xml:space="preserve"> </w:t>
      </w:r>
      <w:r>
        <w:t xml:space="preserve">after preprocessing is in parenthesis next to the title of the plot.</w:t>
      </w:r>
    </w:p>
    <w:p>
      <w:pPr>
        <w:pStyle w:val="BodyText"/>
      </w:pPr>
      <w:r>
        <w:rPr>
          <w:bCs/>
          <w:b/>
        </w:rPr>
        <w:t xml:space="preserve">Supplemental Figure 4: Top 10 important taxa at each taxonomic</w:t>
      </w:r>
      <w:r>
        <w:rPr>
          <w:bCs/>
          <w:b/>
        </w:rPr>
        <w:t xml:space="preserve"> </w:t>
      </w:r>
      <w:r>
        <w:rPr>
          <w:bCs/>
          <w:b/>
        </w:rPr>
        <w:t xml:space="preserve">level.</w:t>
      </w:r>
      <w:r>
        <w:t xml:space="preserve"> </w:t>
      </w:r>
      <w:r>
        <w:t xml:space="preserve">Summary of the 10 most important taxa for the random forest</w:t>
      </w:r>
      <w:r>
        <w:t xml:space="preserve"> </w:t>
      </w:r>
      <w:r>
        <w:t xml:space="preserve">models at each taxonomic level based on the average decrease in AUROC</w:t>
      </w:r>
      <w:r>
        <w:t xml:space="preserve"> </w:t>
      </w:r>
      <w:r>
        <w:t xml:space="preserve">when the feature is permuted. Dot represents the mean decrease in AUROC</w:t>
      </w:r>
      <w:r>
        <w:t xml:space="preserve"> </w:t>
      </w:r>
      <w:r>
        <w:t xml:space="preserve">and the lines extending from the dot represent the standard deviation</w:t>
      </w:r>
      <w:r>
        <w:t xml:space="preserve"> </w:t>
      </w:r>
      <w:r>
        <w:t xml:space="preserve">from the mean.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https://doi.org/10.1038/ismej.2014.195" TargetMode="External" /><Relationship Type="http://schemas.openxmlformats.org/officeDocument/2006/relationships/hyperlink" Id="rId38" Target="https://doi.org/10.1038/ismej.2017.119" TargetMode="External" /><Relationship Type="http://schemas.openxmlformats.org/officeDocument/2006/relationships/hyperlink" Id="rId58" Target="https://doi.org/10.1038/nmeth.3869" TargetMode="External" /><Relationship Type="http://schemas.openxmlformats.org/officeDocument/2006/relationships/hyperlink" Id="rId56" Target="https://doi.org/10.1093/nar/gks1219" TargetMode="External" /><Relationship Type="http://schemas.openxmlformats.org/officeDocument/2006/relationships/hyperlink" Id="rId48" Target="https://doi.org/10.1111/2041-210X.12114" TargetMode="External" /><Relationship Type="http://schemas.openxmlformats.org/officeDocument/2006/relationships/hyperlink" Id="rId46" Target="https://doi.org/10.1111/j.1466-8238.2007.00358.x" TargetMode="External" /><Relationship Type="http://schemas.openxmlformats.org/officeDocument/2006/relationships/hyperlink" Id="rId42" Target="https://doi.org/10.1128/AEM.01541-09" TargetMode="External" /><Relationship Type="http://schemas.openxmlformats.org/officeDocument/2006/relationships/hyperlink" Id="rId40" Target="https://doi.org/10.1128/mBio.00434-20" TargetMode="External" /><Relationship Type="http://schemas.openxmlformats.org/officeDocument/2006/relationships/hyperlink" Id="rId52" Target="https://doi.org/10.1128/mSphere.00191-21" TargetMode="External" /><Relationship Type="http://schemas.openxmlformats.org/officeDocument/2006/relationships/hyperlink" Id="rId32" Target="https://doi.org/10.1155/2012/483417" TargetMode="External" /><Relationship Type="http://schemas.openxmlformats.org/officeDocument/2006/relationships/hyperlink" Id="rId34" Target="https://doi.org/10.1158/1940-6207.CAPR-14-0129" TargetMode="External" /><Relationship Type="http://schemas.openxmlformats.org/officeDocument/2006/relationships/hyperlink" Id="rId54" Target="https://doi.org/10.1186/s13073-016-0290-3" TargetMode="External" /><Relationship Type="http://schemas.openxmlformats.org/officeDocument/2006/relationships/hyperlink" Id="rId36" Target="https://doi.org/10.15252/msb.20145645" TargetMode="External" /><Relationship Type="http://schemas.openxmlformats.org/officeDocument/2006/relationships/hyperlink" Id="rId44" Target="https://doi.org/10.21105/joss.03073" TargetMode="External" /><Relationship Type="http://schemas.openxmlformats.org/officeDocument/2006/relationships/hyperlink" Id="rId30" Target="https://doi.org/10.3322/caac.21601" TargetMode="External" /><Relationship Type="http://schemas.openxmlformats.org/officeDocument/2006/relationships/hyperlink" Id="rId25" Target="https://github.com/SchlossLab/Armour_Resolution_XXXX_2021" TargetMode="External" /><Relationship Type="http://schemas.openxmlformats.org/officeDocument/2006/relationships/hyperlink" Id="rId24" Target="https://mothur.org/wiki/miseq_sop/" TargetMode="External" /><Relationship Type="http://schemas.openxmlformats.org/officeDocument/2006/relationships/hyperlink" Id="rId20" Target="mailto:pschloss@umich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doi.org/10.1038/ismej.2014.195" TargetMode="External" /><Relationship Type="http://schemas.openxmlformats.org/officeDocument/2006/relationships/hyperlink" Id="rId38" Target="https://doi.org/10.1038/ismej.2017.119" TargetMode="External" /><Relationship Type="http://schemas.openxmlformats.org/officeDocument/2006/relationships/hyperlink" Id="rId58" Target="https://doi.org/10.1038/nmeth.3869" TargetMode="External" /><Relationship Type="http://schemas.openxmlformats.org/officeDocument/2006/relationships/hyperlink" Id="rId56" Target="https://doi.org/10.1093/nar/gks1219" TargetMode="External" /><Relationship Type="http://schemas.openxmlformats.org/officeDocument/2006/relationships/hyperlink" Id="rId48" Target="https://doi.org/10.1111/2041-210X.12114" TargetMode="External" /><Relationship Type="http://schemas.openxmlformats.org/officeDocument/2006/relationships/hyperlink" Id="rId46" Target="https://doi.org/10.1111/j.1466-8238.2007.00358.x" TargetMode="External" /><Relationship Type="http://schemas.openxmlformats.org/officeDocument/2006/relationships/hyperlink" Id="rId42" Target="https://doi.org/10.1128/AEM.01541-09" TargetMode="External" /><Relationship Type="http://schemas.openxmlformats.org/officeDocument/2006/relationships/hyperlink" Id="rId40" Target="https://doi.org/10.1128/mBio.00434-20" TargetMode="External" /><Relationship Type="http://schemas.openxmlformats.org/officeDocument/2006/relationships/hyperlink" Id="rId52" Target="https://doi.org/10.1128/mSphere.00191-21" TargetMode="External" /><Relationship Type="http://schemas.openxmlformats.org/officeDocument/2006/relationships/hyperlink" Id="rId32" Target="https://doi.org/10.1155/2012/483417" TargetMode="External" /><Relationship Type="http://schemas.openxmlformats.org/officeDocument/2006/relationships/hyperlink" Id="rId34" Target="https://doi.org/10.1158/1940-6207.CAPR-14-0129" TargetMode="External" /><Relationship Type="http://schemas.openxmlformats.org/officeDocument/2006/relationships/hyperlink" Id="rId54" Target="https://doi.org/10.1186/s13073-016-0290-3" TargetMode="External" /><Relationship Type="http://schemas.openxmlformats.org/officeDocument/2006/relationships/hyperlink" Id="rId36" Target="https://doi.org/10.15252/msb.20145645" TargetMode="External" /><Relationship Type="http://schemas.openxmlformats.org/officeDocument/2006/relationships/hyperlink" Id="rId44" Target="https://doi.org/10.21105/joss.03073" TargetMode="External" /><Relationship Type="http://schemas.openxmlformats.org/officeDocument/2006/relationships/hyperlink" Id="rId30" Target="https://doi.org/10.3322/caac.21601" TargetMode="External" /><Relationship Type="http://schemas.openxmlformats.org/officeDocument/2006/relationships/hyperlink" Id="rId25" Target="https://github.com/SchlossLab/Armour_Resolution_XXXX_2021" TargetMode="External" /><Relationship Type="http://schemas.openxmlformats.org/officeDocument/2006/relationships/hyperlink" Id="rId24" Target="https://mothur.org/wiki/miseq_sop/" TargetMode="External" /><Relationship Type="http://schemas.openxmlformats.org/officeDocument/2006/relationships/hyperlink" Id="rId20" Target="mailto:pschloss@umich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2021-11-19T21:25:44Z</dcterms:created>
  <dcterms:modified xsi:type="dcterms:W3CDTF">2021-11-19T21:25:44Z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