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C2F3E" w14:textId="77777777" w:rsidR="00275294" w:rsidRDefault="00B43B9A">
      <w:pPr>
        <w:pStyle w:val="Heading1"/>
      </w:pPr>
      <w:bookmarkStart w:id="0" w:name="Xa1479a9d1e6704c4cc640b9e3406c1b5ca2a6a8"/>
      <w:r>
        <w:t>Taxonomic Resolution Matters for Microbiome-Based Classification of Colorectal Cancer</w:t>
      </w:r>
    </w:p>
    <w:p w14:paraId="3FFD6AD7" w14:textId="77777777" w:rsidR="00275294" w:rsidRDefault="00B43B9A">
      <w:pPr>
        <w:pStyle w:val="FirstParagraph"/>
      </w:pPr>
      <w:r>
        <w:t>Courtney R. Armour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, Begüm D.Topçuoğlu, Andrea Garretto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Patrick D. Schloss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77F883C2" w14:textId="77777777" w:rsidR="00275294" w:rsidRDefault="00B43B9A">
      <w:pPr>
        <w:pStyle w:val="BodyTex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</w:t>
      </w:r>
      <w:r>
        <w:t>Department of Microbiology and Immunology, University of Michigan, Ann Arbor</w:t>
      </w:r>
    </w:p>
    <w:p w14:paraId="13E39886" w14:textId="77777777" w:rsidR="00275294" w:rsidRDefault="00B43B9A">
      <w:pPr>
        <w:pStyle w:val="BodyTex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Correspondence: Patrick D. Schloss </w:t>
      </w:r>
    </w:p>
    <w:p w14:paraId="1D5F07A7" w14:textId="77777777" w:rsidR="00275294" w:rsidRDefault="00B43B9A">
      <w:pPr>
        <w:pStyle w:val="BodyText"/>
      </w:pPr>
      <w:r>
        <w:rPr>
          <w:b/>
          <w:bCs/>
        </w:rPr>
        <w:t>observation format - max 1200 words, 2 figures, 25 ref</w:t>
      </w:r>
    </w:p>
    <w:p w14:paraId="61B54345" w14:textId="77777777" w:rsidR="00275294" w:rsidRDefault="00B43B9A">
      <w:r>
        <w:br w:type="page"/>
      </w:r>
    </w:p>
    <w:p w14:paraId="01E2915A" w14:textId="77777777" w:rsidR="00275294" w:rsidRDefault="00B43B9A">
      <w:pPr>
        <w:pStyle w:val="Heading2"/>
      </w:pPr>
      <w:bookmarkStart w:id="1" w:name="abstract-max-250-words"/>
      <w:r>
        <w:lastRenderedPageBreak/>
        <w:t>Abstract (max 250 words)</w:t>
      </w:r>
    </w:p>
    <w:p w14:paraId="6BEED0A8" w14:textId="77777777" w:rsidR="00275294" w:rsidRDefault="00B43B9A">
      <w:pPr>
        <w:pStyle w:val="Heading2"/>
      </w:pPr>
      <w:bookmarkStart w:id="2" w:name="importance-max-150-words"/>
      <w:bookmarkEnd w:id="1"/>
      <w:r>
        <w:t>Importance (max 150 words)</w:t>
      </w:r>
    </w:p>
    <w:p w14:paraId="43C7A842" w14:textId="77777777" w:rsidR="00275294" w:rsidRDefault="00B43B9A">
      <w:r>
        <w:br w:type="page"/>
      </w:r>
    </w:p>
    <w:p w14:paraId="5D8EB3AE" w14:textId="77777777" w:rsidR="00275294" w:rsidRDefault="00B43B9A">
      <w:pPr>
        <w:pStyle w:val="FirstParagraph"/>
      </w:pPr>
      <w:r>
        <w:lastRenderedPageBreak/>
        <w:t>Colorectal cancer is one of t</w:t>
      </w:r>
      <w:r>
        <w:t>he most common cancers in men and women and a leading cause of cancer related deaths in the United States [@siegel2020]. Early detection and treatment are essential to increase survival rates, but for a variety of reasons including the invasiveness and hig</w:t>
      </w:r>
      <w:r>
        <w:t>h cost of screening (i.e. colonoscopy), many people do not comply with recommended screening guidelines [@garcía2011a] prompting a need for low cost, non-invasive detection methods. A growing body of research points to the gut microbiome as a promising tar</w:t>
      </w:r>
      <w:r>
        <w:t>get for non-invasive screening to detect screen relevant neoplasia (SRNs) consisting of pre-cancerous polyps (i.e. advanced adenomas) and carcinomas. Efforts to realize the diagnostic potential of the gut microbiome in detecting SRNs have focused on machin</w:t>
      </w:r>
      <w:r>
        <w:t>e learning (ML) methods using abundances of operational taxonomic unit (OTU) classifications based on amplicon sequencing of the 16S rRNA gene {}. However, whether this is the optimal taxonomic resolution for classifying SRNs from microbiome data is unknow</w:t>
      </w:r>
      <w:r>
        <w:t>n. Additionally, recent work has pushed for the use of amplicon sequence variants (ASVs) to replace OTUs for marker-gene analysis because of the improved resolution with ASVs [@callahan2017]. However, whether the additional resolution provided by ASVs is u</w:t>
      </w:r>
      <w:r>
        <w:t xml:space="preserve">seful for ML classification is unclear {}. Since ML classification relies on consistent differences between groups, its possible that the resolution at the ASV level is too individualized to accurately differentiate groups. Topçuoğlu </w:t>
      </w:r>
      <w:r>
        <w:rPr>
          <w:i/>
          <w:iCs/>
        </w:rPr>
        <w:t>et al</w:t>
      </w:r>
      <w:r>
        <w:t xml:space="preserve"> [@topçuolu2020] </w:t>
      </w:r>
      <w:r>
        <w:t>recently demonstrated how to effectively apply machine learning (ML) methods to microbiome based classification problems and developed a framework for applying ML practices in a more reproducible way (mikropml). This analysis utilizes the reproducible fram</w:t>
      </w:r>
      <w:r>
        <w:t xml:space="preserve">ework developed by Topçuoğlu </w:t>
      </w:r>
      <w:r>
        <w:rPr>
          <w:i/>
          <w:iCs/>
        </w:rPr>
        <w:t>et al</w:t>
      </w:r>
      <w:r>
        <w:t xml:space="preserve"> to determine which ML method and taxonomic level produce the best performing classifier for detecting SRNs from microbiome data.</w:t>
      </w:r>
      <w:bookmarkEnd w:id="0"/>
      <w:bookmarkEnd w:id="2"/>
    </w:p>
    <w:sectPr w:rsidR="002752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1D503" w14:textId="77777777" w:rsidR="00B43B9A" w:rsidRDefault="00B43B9A">
      <w:pPr>
        <w:spacing w:after="0"/>
      </w:pPr>
      <w:r>
        <w:separator/>
      </w:r>
    </w:p>
  </w:endnote>
  <w:endnote w:type="continuationSeparator" w:id="0">
    <w:p w14:paraId="1F2269D4" w14:textId="77777777" w:rsidR="00B43B9A" w:rsidRDefault="00B43B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22D1E" w14:textId="77777777" w:rsidR="00B43B9A" w:rsidRDefault="00B43B9A">
      <w:r>
        <w:separator/>
      </w:r>
    </w:p>
  </w:footnote>
  <w:footnote w:type="continuationSeparator" w:id="0">
    <w:p w14:paraId="63100BC5" w14:textId="77777777" w:rsidR="00B43B9A" w:rsidRDefault="00B4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34E1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7A46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C0E4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8A55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706A5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9E8A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E5C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1A08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C2B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7E1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35660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5294"/>
    <w:rsid w:val="004E29B3"/>
    <w:rsid w:val="00590D07"/>
    <w:rsid w:val="00756586"/>
    <w:rsid w:val="00784D58"/>
    <w:rsid w:val="008D6863"/>
    <w:rsid w:val="0096327B"/>
    <w:rsid w:val="00B43B9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F12B8"/>
  <w15:docId w15:val="{A19A635E-97E2-594D-822E-66AE554D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6327B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327B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6327B"/>
    <w:pPr>
      <w:spacing w:before="180" w:after="180" w:line="480" w:lineRule="auto"/>
    </w:pPr>
    <w:rPr>
      <w:rFonts w:ascii="Helvetica" w:hAnsi="Helvetica"/>
      <w:color w:val="000000" w:themeColor="text1"/>
      <w:sz w:val="22"/>
    </w:rPr>
  </w:style>
  <w:style w:type="paragraph" w:customStyle="1" w:styleId="FirstParagraph">
    <w:name w:val="First Paragraph"/>
    <w:basedOn w:val="BodyText"/>
    <w:next w:val="BodyText"/>
    <w:qFormat/>
    <w:rsid w:val="003F3D9B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3F3D9B"/>
    <w:pPr>
      <w:tabs>
        <w:tab w:val="center" w:pos="4680"/>
        <w:tab w:val="right" w:pos="9360"/>
      </w:tabs>
      <w:spacing w:after="0"/>
    </w:pPr>
    <w:rPr>
      <w:rFonts w:ascii="Helvetica" w:hAnsi="Helvetica"/>
      <w:b/>
    </w:rPr>
  </w:style>
  <w:style w:type="character" w:customStyle="1" w:styleId="BodyTextChar">
    <w:name w:val="Body Text Char"/>
    <w:basedOn w:val="DefaultParagraphFont"/>
    <w:link w:val="BodyText"/>
    <w:rsid w:val="0096327B"/>
    <w:rPr>
      <w:rFonts w:ascii="Helvetica" w:hAnsi="Helvetica"/>
      <w:color w:val="000000" w:themeColor="text1"/>
      <w:sz w:val="22"/>
    </w:rPr>
  </w:style>
  <w:style w:type="character" w:customStyle="1" w:styleId="HeaderChar">
    <w:name w:val="Header Char"/>
    <w:basedOn w:val="DefaultParagraphFont"/>
    <w:link w:val="Header"/>
    <w:rsid w:val="003F3D9B"/>
    <w:rPr>
      <w:rFonts w:ascii="Helvetica" w:hAnsi="Helvetic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Armour, Courtney</dc:creator>
  <cp:keywords/>
  <cp:lastModifiedBy>Armour, Courtney</cp:lastModifiedBy>
  <cp:revision>3</cp:revision>
  <dcterms:created xsi:type="dcterms:W3CDTF">2021-08-31T13:57:00Z</dcterms:created>
  <dcterms:modified xsi:type="dcterms:W3CDTF">2021-08-31T13:59:00Z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