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2022-02-11</w:t>
      </w:r>
    </w:p>
    <w:bookmarkStart w:id="21" w:name="Xd93e1c8295aa9739c552781576fcbb0b64e3417"/>
    <w:p>
      <w:pPr>
        <w:pStyle w:val="Heading2"/>
      </w:pPr>
      <w:r>
        <w:t xml:space="preserve">Machine learning prediction of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colonization based on microbiota composition on day of challenge</w:t>
      </w:r>
    </w:p>
    <w:p>
      <w:pPr>
        <w:pStyle w:val="FirstParagraph"/>
      </w:pPr>
      <w:r>
        <w:t xml:space="preserve">Performance was measured by the area under the receiver-operator characteristic curve (AUROC) and the area under the precision-recall curve (AUPRC).</w:t>
      </w:r>
    </w:p>
    <w:p>
      <w:pPr>
        <w:numPr>
          <w:ilvl w:val="0"/>
          <w:numId w:val="1001"/>
        </w:numPr>
        <w:pStyle w:val="Compact"/>
      </w:pPr>
      <w:r>
        <w:t xml:space="preserve">Performance on cross-validation folds of training data:</w:t>
      </w:r>
    </w:p>
    <w:p>
      <w:pPr>
        <w:numPr>
          <w:ilvl w:val="1"/>
          <w:numId w:val="1002"/>
        </w:numPr>
        <w:pStyle w:val="Compact"/>
      </w:pPr>
      <w:r>
        <w:t xml:space="preserve">Mean AUROC 0.97 (s.d. 0.011).</w:t>
      </w:r>
    </w:p>
    <w:p>
      <w:pPr>
        <w:numPr>
          <w:ilvl w:val="0"/>
          <w:numId w:val="1001"/>
        </w:numPr>
        <w:pStyle w:val="Compact"/>
      </w:pPr>
      <w:r>
        <w:t xml:space="preserve">Performance on held-out test data:</w:t>
      </w:r>
    </w:p>
    <w:p>
      <w:pPr>
        <w:numPr>
          <w:ilvl w:val="1"/>
          <w:numId w:val="1003"/>
        </w:numPr>
        <w:pStyle w:val="Compact"/>
      </w:pPr>
      <w:r>
        <w:t xml:space="preserve">Mean AUROC 0.95 (s.d. 0.05)</w:t>
      </w:r>
    </w:p>
    <w:p>
      <w:pPr>
        <w:numPr>
          <w:ilvl w:val="1"/>
          <w:numId w:val="1003"/>
        </w:numPr>
        <w:pStyle w:val="Compact"/>
      </w:pPr>
      <w:r>
        <w:t xml:space="preserve">Mean AUPRC 0.84 (s.d. 0.065). Baseline AUPRC: 0.34</w:t>
      </w:r>
    </w:p>
    <w:bookmarkStart w:id="20" w:name="feature-importance-top-20-otus"/>
    <w:p>
      <w:pPr>
        <w:pStyle w:val="Heading3"/>
      </w:pPr>
      <w:r>
        <w:t xml:space="preserve">Feature importance: Top 20 OTUs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20"/>
        <w:gridCol w:w="1584"/>
        <w:gridCol w:w="1131"/>
        <w:gridCol w:w="1018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OTU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models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Enterobacteriaceae</w:t>
            </w:r>
            <w:r>
              <w:t xml:space="preserve"> </w:t>
            </w:r>
            <w:r>
              <w:t xml:space="preserve">(OTU 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-0.0078371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Erysipelotrichaceae</w:t>
            </w:r>
            <w:r>
              <w:t xml:space="preserve"> </w:t>
            </w:r>
            <w:r>
              <w:t xml:space="preserve">(OTU 222)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-0.0022672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Porphyromonadaceae</w:t>
            </w:r>
            <w:r>
              <w:t xml:space="preserve"> </w:t>
            </w:r>
            <w:r>
              <w:t xml:space="preserve">(OTU 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-0.0022489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Erysipelotrichaceae</w:t>
            </w:r>
            <w:r>
              <w:t xml:space="preserve"> </w:t>
            </w:r>
            <w:r>
              <w:t xml:space="preserve">(OTU 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-0.0017732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Ruminococcaceae</w:t>
            </w:r>
            <w:r>
              <w:t xml:space="preserve"> </w:t>
            </w:r>
            <w:r>
              <w:t xml:space="preserve">(OTU 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-0.0015730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-0.0015468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-0.0012169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Bifidobacterium</w:t>
            </w:r>
            <w:r>
              <w:t xml:space="preserve"> </w:t>
            </w:r>
            <w:r>
              <w:t xml:space="preserve">(OTU 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-0.0010722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Firmicutes</w:t>
            </w:r>
            <w:r>
              <w:t xml:space="preserve"> </w:t>
            </w:r>
            <w:r>
              <w:t xml:space="preserve">(OTU 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-0.0008873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Clostridium</w:t>
            </w:r>
            <w:r>
              <w:t xml:space="preserve"> </w:t>
            </w:r>
            <w:r>
              <w:t xml:space="preserve">IV (OTU 126)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Oscillibacter</w:t>
            </w:r>
            <w:r>
              <w:t xml:space="preserve"> </w:t>
            </w:r>
            <w:r>
              <w:t xml:space="preserve">(OTU 164)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Porphyromonadaceae</w:t>
            </w:r>
            <w:r>
              <w:t xml:space="preserve"> </w:t>
            </w:r>
            <w:r>
              <w:t xml:space="preserve">(OTU 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Lactobacillus</w:t>
            </w:r>
            <w:r>
              <w:t xml:space="preserve"> </w:t>
            </w:r>
            <w:r>
              <w:t xml:space="preserve">(OTU 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Acetatifactor</w:t>
            </w:r>
            <w:r>
              <w:t xml:space="preserve"> </w:t>
            </w:r>
            <w:r>
              <w:t xml:space="preserve">(OTU 172)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Lactobacillus</w:t>
            </w:r>
            <w:r>
              <w:t xml:space="preserve"> </w:t>
            </w:r>
            <w:r>
              <w:t xml:space="preserve">(OTU 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Dorea</w:t>
            </w:r>
            <w:r>
              <w:t xml:space="preserve"> </w:t>
            </w:r>
            <w:r>
              <w:t xml:space="preserve">(OTU 149)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Helicobacter</w:t>
            </w:r>
            <w:r>
              <w:t xml:space="preserve"> </w:t>
            </w:r>
            <w:r>
              <w:t xml:space="preserve">(OTU 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End w:id="20"/>
    <w:bookmarkEnd w:id="21"/>
    <w:bookmarkStart w:id="23" w:name="machine-learning-methods"/>
    <w:p>
      <w:pPr>
        <w:pStyle w:val="Heading2"/>
      </w:pPr>
      <w:r>
        <w:t xml:space="preserve">Machine learning methods</w:t>
      </w:r>
    </w:p>
    <w:p>
      <w:pPr>
        <w:pStyle w:val="FirstParagraph"/>
      </w:pPr>
      <w:r>
        <w:t xml:space="preserve">Supervised machine learning was performed according to the best practices</w:t>
      </w:r>
      <w:r>
        <w:t xml:space="preserve"> </w:t>
      </w:r>
      <w:r>
        <w:t xml:space="preserve">outlined by Topçuoğlu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topcuoglu_framework_2020">
        <w:r>
          <w:rPr>
            <w:rStyle w:val="Hyperlink"/>
          </w:rPr>
          <w:t xml:space="preserve">1</w:t>
        </w:r>
      </w:hyperlink>
      <w:r>
        <w:t xml:space="preserve">)</w:t>
      </w:r>
      <w:r>
        <w:t xml:space="preserve"> </w:t>
      </w:r>
      <w:r>
        <w:t xml:space="preserve">and implemented in</w:t>
      </w:r>
      <w:r>
        <w:t xml:space="preserve"> </w:t>
      </w:r>
      <w:r>
        <w:t xml:space="preserve">the mikropml R package v1.2.1</w:t>
      </w:r>
      <w:r>
        <w:t xml:space="preserve"> </w:t>
      </w:r>
      <w:r>
        <w:t xml:space="preserve">(</w:t>
      </w:r>
      <w:hyperlink w:anchor="ref-topcuoglu_mikropml_2021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Models were trained on the abundance data on day 0 of the experiment to predict</w:t>
      </w:r>
      <w:r>
        <w:t xml:space="preserve"> </w:t>
      </w:r>
      <w:r>
        <w:t xml:space="preserve">the presence of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on day 1 of the experiment.</w:t>
      </w:r>
      <w:r>
        <w:t xml:space="preserve"> </w:t>
      </w:r>
      <w:r>
        <w:t xml:space="preserve">The data were first pre-processed by centering and scaling abundance counts,</w:t>
      </w:r>
      <w:r>
        <w:t xml:space="preserve"> </w:t>
      </w:r>
      <w:r>
        <w:t xml:space="preserve">collapsing perfectly correlated OTUs, and removing OTUs with zero variance.</w:t>
      </w:r>
      <w:r>
        <w:t xml:space="preserve"> </w:t>
      </w:r>
      <w:r>
        <w:t xml:space="preserve">For 100 random seeds, the data were randomly split into training and testing</w:t>
      </w:r>
      <w:r>
        <w:t xml:space="preserve"> </w:t>
      </w:r>
      <w:r>
        <w:t xml:space="preserve">sets with 65% and 35% of the samples in each, respectively.</w:t>
      </w:r>
      <w:r>
        <w:t xml:space="preserve"> </w:t>
      </w:r>
      <w:r>
        <w:t xml:space="preserve">Random forest models were trained on the training sets using 5-fold</w:t>
      </w:r>
      <w:r>
        <w:t xml:space="preserve"> </w:t>
      </w:r>
      <w:r>
        <w:t xml:space="preserve">cross-validation to select the best hyper-parameter value (</w:t>
      </w:r>
      <w:r>
        <w:rPr>
          <w:rStyle w:val="VerbatimChar"/>
        </w:rPr>
        <w:t xml:space="preserve">mtry</w:t>
      </w:r>
      <w:r>
        <w:t xml:space="preserve">: the number of</w:t>
      </w:r>
      <w:r>
        <w:t xml:space="preserve"> </w:t>
      </w:r>
      <w:r>
        <w:t xml:space="preserve">OTUs included per tree), then the best models were evaluated with the</w:t>
      </w:r>
      <w:r>
        <w:t xml:space="preserve"> </w:t>
      </w:r>
      <w:r>
        <w:t xml:space="preserve">held-out test sets by computing the AUROC and AUPRC.</w:t>
      </w:r>
    </w:p>
    <w:p>
      <w:pPr>
        <w:pStyle w:val="BodyText"/>
      </w:pPr>
      <w:r>
        <w:t xml:space="preserve">The most important OTUs contributing model performance were determined by</w:t>
      </w:r>
      <w:r>
        <w:t xml:space="preserve"> </w:t>
      </w:r>
      <w:r>
        <w:t xml:space="preserve">permutation tests.</w:t>
      </w:r>
      <w:r>
        <w:t xml:space="preserve"> </w:t>
      </w:r>
      <w:r>
        <w:t xml:space="preserve">For each trained model, each OTU in the test dataset was randomly shuffled 100</w:t>
      </w:r>
      <w:r>
        <w:t xml:space="preserve"> </w:t>
      </w:r>
      <w:r>
        <w:t xml:space="preserve">times and the new permuted performance (AUROC) was measured.</w:t>
      </w:r>
      <w:r>
        <w:t xml:space="preserve"> </w:t>
      </w:r>
      <w:r>
        <w:t xml:space="preserve">A given OTU was considered significantly important for a model at an alpha level of 0.05,</w:t>
      </w:r>
      <w:r>
        <w:t xml:space="preserve"> </w:t>
      </w:r>
      <w:r>
        <w:t xml:space="preserve">where less than 5% of the permuted AUROC values were greater than the original test AUROC.</w:t>
      </w:r>
      <w:r>
        <w:t xml:space="preserve"> </w:t>
      </w:r>
      <w:r>
        <w:t xml:space="preserve">The OTUs that decreased the AUROC the most when permuted were the most important.</w:t>
      </w:r>
    </w:p>
    <w:p>
      <w:pPr>
        <w:pStyle w:val="BodyText"/>
      </w:pPr>
      <w:r>
        <w:t xml:space="preserve">The workflow used to perform the machine learning analysis is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https://github.com/SchlossLab/Barron_IBD-CDI_2022</w:t>
        </w:r>
      </w:hyperlink>
    </w:p>
    <w:bookmarkEnd w:id="23"/>
    <w:bookmarkStart w:id="32" w:name="references"/>
    <w:p>
      <w:pPr>
        <w:pStyle w:val="Heading2"/>
      </w:pPr>
      <w:r>
        <w:t xml:space="preserve">References</w:t>
      </w:r>
    </w:p>
    <w:p>
      <w:pPr>
        <w:pStyle w:val="FirstParagraph"/>
      </w:pPr>
    </w:p>
    <w:bookmarkStart w:id="28" w:name="refs"/>
    <w:bookmarkStart w:id="25" w:name="ref-topcuoglu_framework_202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Lesniak NA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Effective Application</w:t>
      </w:r>
      <w:r>
        <w:t xml:space="preserve"> </w:t>
      </w:r>
      <w:r>
        <w:t xml:space="preserve">of</w:t>
      </w:r>
      <w:r>
        <w:t xml:space="preserve"> </w:t>
      </w:r>
      <w:r>
        <w:t xml:space="preserve">Machine Learning</w:t>
      </w:r>
      <w:r>
        <w:t xml:space="preserve"> </w:t>
      </w:r>
      <w:r>
        <w:t xml:space="preserve">to</w:t>
      </w:r>
      <w:r>
        <w:t xml:space="preserve"> </w:t>
      </w:r>
      <w:r>
        <w:t xml:space="preserve">Microbiome-Based Classification Problems</w:t>
      </w:r>
      <w:r>
        <w:t xml:space="preserve">. mBio</w:t>
      </w:r>
      <w:r>
        <w:t xml:space="preserve"> </w:t>
      </w:r>
      <w:r>
        <w:rPr>
          <w:bCs/>
          <w:b/>
        </w:rPr>
        <w:t xml:space="preserve">11</w:t>
      </w:r>
      <w:r>
        <w:t xml:space="preserve">. doi:</w:t>
      </w:r>
      <w:hyperlink r:id="rId24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bookmarkEnd w:id="25"/>
    <w:bookmarkStart w:id="27" w:name="ref-topcuoglu_mikropml_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Lapp Z</w:t>
      </w:r>
      <w:r>
        <w:t xml:space="preserve">,</w:t>
      </w:r>
      <w:r>
        <w:t xml:space="preserve"> </w:t>
      </w:r>
      <w:r>
        <w:rPr>
          <w:bCs/>
          <w:b/>
        </w:rPr>
        <w:t xml:space="preserve">Sovacool KL</w:t>
      </w:r>
      <w:r>
        <w:t xml:space="preserve">,</w:t>
      </w:r>
      <w:r>
        <w:t xml:space="preserve"> </w:t>
      </w:r>
      <w:r>
        <w:rPr>
          <w:bCs/>
          <w:b/>
        </w:rPr>
        <w:t xml:space="preserve">Snitkin E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2021. Mikropml:</w:t>
      </w:r>
      <w:r>
        <w:t xml:space="preserve"> </w:t>
      </w:r>
      <w:r>
        <w:t xml:space="preserve">User-Friendly R Package</w:t>
      </w:r>
      <w:r>
        <w:t xml:space="preserve"> </w:t>
      </w:r>
      <w:r>
        <w:t xml:space="preserve">for</w:t>
      </w:r>
      <w:r>
        <w:t xml:space="preserve"> </w:t>
      </w:r>
      <w:r>
        <w:t xml:space="preserve">Supervised Machine Learning Pipelines</w:t>
      </w:r>
      <w:r>
        <w:t xml:space="preserve">. JOSS</w:t>
      </w:r>
      <w:r>
        <w:t xml:space="preserve"> </w:t>
      </w:r>
      <w:r>
        <w:rPr>
          <w:bCs/>
          <w:b/>
        </w:rPr>
        <w:t xml:space="preserve">6</w:t>
      </w:r>
      <w:r>
        <w:t xml:space="preserve">:3073. doi:</w:t>
      </w:r>
      <w:hyperlink r:id="rId26">
        <w:r>
          <w:rPr>
            <w:rStyle w:val="Hyperlink"/>
          </w:rPr>
          <w:t xml:space="preserve">10.21105/joss.03073</w:t>
        </w:r>
      </w:hyperlink>
      <w:r>
        <w:t xml:space="preserve">.</w:t>
      </w:r>
    </w:p>
    <w:bookmarkEnd w:id="27"/>
    <w:bookmarkEnd w:id="28"/>
    <w:p>
      <w:r>
        <w:br w:type="page"/>
      </w:r>
    </w:p>
    <w:p>
      <w:pPr>
        <w:pStyle w:val="BodyText"/>
      </w:pPr>
      <w:r>
        <w:drawing>
          <wp:inline>
            <wp:extent cx="5334000" cy="57884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nfs/turbo/schloss-lab/sovacool/Barron_IBD-CDI_2022/figures/Figure5.pdf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5.</w:t>
      </w:r>
      <w:r>
        <w:t xml:space="preserve"> </w:t>
      </w:r>
      <w:r>
        <w:t xml:space="preserve">Machine learning analysis to predict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colonization.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Mean area under the receiver-operator characteristic curve (AUROC) on the</w:t>
      </w:r>
      <w:r>
        <w:t xml:space="preserve"> </w:t>
      </w:r>
      <w:r>
        <w:t xml:space="preserve">cross-validation folds during model training,</w:t>
      </w:r>
      <w:r>
        <w:t xml:space="preserve"> </w:t>
      </w:r>
      <w:r>
        <w:t xml:space="preserve">mean AUROC on the held-out test data,</w:t>
      </w:r>
      <w:r>
        <w:t xml:space="preserve"> </w:t>
      </w:r>
      <w:r>
        <w:t xml:space="preserve">and mean area under the precision-recall curve (AUPRC) on the held-out test data.</w:t>
      </w:r>
      <w:r>
        <w:t xml:space="preserve"> </w:t>
      </w:r>
      <w:r>
        <w:t xml:space="preserve">The dashed grey lines represent the baseline AUROC (0.5) and AUPRC (0.34).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Receiver-operator characteristic curve for the test data.</w:t>
      </w:r>
      <w:r>
        <w:t xml:space="preserve"> </w:t>
      </w:r>
      <w:r>
        <w:t xml:space="preserve">Mean specificity is plotted against sensitivity.</w:t>
      </w:r>
      <w:r>
        <w:t xml:space="preserve"> </w:t>
      </w:r>
      <w:r>
        <w:t xml:space="preserve">The light green shaded area shows the standard deviation.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Precision-recall curve for the test data.</w:t>
      </w:r>
      <w:r>
        <w:t xml:space="preserve"> </w:t>
      </w:r>
      <w:r>
        <w:t xml:space="preserve">Mean precision is plotted against recall.</w:t>
      </w:r>
      <w:r>
        <w:t xml:space="preserve"> </w:t>
      </w:r>
      <w:r>
        <w:t xml:space="preserve">The light blue shaded area shows the standard deviation.</w:t>
      </w:r>
      <w:r>
        <w:t xml:space="preserve"> </w:t>
      </w:r>
      <w:r>
        <w:rPr>
          <w:bCs/>
          <w:b/>
        </w:rPr>
        <w:t xml:space="preserve">D)</w:t>
      </w:r>
      <w:r>
        <w:t xml:space="preserve"> </w:t>
      </w:r>
      <w:r>
        <w:t xml:space="preserve">Top 20 most important OTUs as determined by permutation tests.</w:t>
      </w:r>
      <w:r>
        <w:t xml:space="preserve"> </w:t>
      </w:r>
      <w:r>
        <w:t xml:space="preserve">Features with a larger decrease in AUROC when permuted are more important.</w:t>
      </w:r>
      <w:r>
        <w:t xml:space="preserve"> </w:t>
      </w:r>
      <w:r>
        <w:t xml:space="preserve">The points are the median decrease in AUROC while the tails are the standard</w:t>
      </w:r>
      <w:r>
        <w:t xml:space="preserve"> </w:t>
      </w:r>
      <w:r>
        <w:t xml:space="preserve">deviation.</w:t>
      </w:r>
      <w:r>
        <w:t xml:space="preserve"> </w:t>
      </w:r>
      <w:r>
        <w:t xml:space="preserve">Color represents the percentage of models for which the feature’s permutation</w:t>
      </w:r>
      <w:r>
        <w:t xml:space="preserve"> </w:t>
      </w:r>
      <w:r>
        <w:t xml:space="preserve">AUROC was significantly different from the actual AUROC.</w:t>
      </w:r>
      <w:r>
        <w:t xml:space="preserve"> </w:t>
      </w:r>
      <w:r>
        <w:rPr>
          <w:bCs/>
          <w:b/>
        </w:rPr>
        <w:t xml:space="preserve">E)</w:t>
      </w:r>
      <w:r>
        <w:t xml:space="preserve"> </w:t>
      </w:r>
      <w:r>
        <w:t xml:space="preserve">Log</w:t>
      </w:r>
      <m:oMath>
        <m:sSub>
          <m:e>
            <m:r>
              <m:t>​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relative abundance for the top 20 most important</w:t>
      </w:r>
      <w:r>
        <w:t xml:space="preserve"> </w:t>
      </w:r>
      <w:r>
        <w:t xml:space="preserve">OTUs on day 0 of the experiment, colored by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presence on day 1.</w:t>
      </w:r>
      <w:r>
        <w:t xml:space="preserve"> </w:t>
      </w:r>
      <w:r>
        <w:t xml:space="preserve">The dashed line represents the limit of detection.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df" /><Relationship Type="http://schemas.openxmlformats.org/officeDocument/2006/relationships/hyperlink" Id="rId24" Target="https://doi.org/10.1128/mBio.00434-20" TargetMode="External" /><Relationship Type="http://schemas.openxmlformats.org/officeDocument/2006/relationships/hyperlink" Id="rId26" Target="https://doi.org/10.21105/joss.03073" TargetMode="External" /><Relationship Type="http://schemas.openxmlformats.org/officeDocument/2006/relationships/hyperlink" Id="rId22" Target="https://github.com/SchlossLab/Barron_IBD-CDI_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128/mBio.00434-20" TargetMode="External" /><Relationship Type="http://schemas.openxmlformats.org/officeDocument/2006/relationships/hyperlink" Id="rId26" Target="https://doi.org/10.21105/joss.03073" TargetMode="External" /><Relationship Type="http://schemas.openxmlformats.org/officeDocument/2006/relationships/hyperlink" Id="rId22" Target="https://github.com/SchlossLab/Barron_IBD-CDI_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2022-02-11T19:36:07Z</dcterms:created>
  <dcterms:modified xsi:type="dcterms:W3CDTF">2022-02-11T19:36:07Z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msphere.csl</vt:lpwstr>
  </property>
  <property fmtid="{D5CDD505-2E9C-101B-9397-08002B2CF9AE}" pid="4" name="date">
    <vt:lpwstr>2022-02-11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knit">
    <vt:lpwstr>(function(inputFile, encoding) { rmarkdown::render(inputFile, encoding = encoding, output_dir = “docs”, output_format = “all”) })</vt:lpwstr>
  </property>
  <property fmtid="{D5CDD505-2E9C-101B-9397-08002B2CF9AE}" pid="8" name="link-citations">
    <vt:lpwstr>True</vt:lpwstr>
  </property>
  <property fmtid="{D5CDD505-2E9C-101B-9397-08002B2CF9AE}" pid="9" name="output">
    <vt:lpwstr/>
  </property>
</Properties>
</file>