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have shown that combining microbiota-analysis with conventional diagnostics, like gFOBT and FIT, can significantly improve the detection of colonic lesions over either method by itself</w:t>
      </w:r>
      <w:r>
        <w:t xml:space="preserve"> </w:t>
      </w:r>
      <w:r>
        <w:t xml:space="preserve">(8,9)</w:t>
      </w:r>
      <w:r>
        <w:t xml:space="preserve">. One limitation of microbiota-based CRC screening is the need to collect and process separate stool samples for microbiota characterization. If FIT and microbiota characterization are to be included in a single test, it would be more efficient and less expensive to use a single stool sample for both tests. We hypothesize that the small amount of fecal material contained in FIT sampling cartridges is sufficient to perform both hemoglobin quantification and microbiota characterization. To test this hypothesis, we isolated bacterial DNA from the residual buffer of FIT cartriges that had already been used for quantifying hemoglobin concentrations from stool. We then compared the bacterial composition of the FIT cartridge to that of DNA isolated directly from the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from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100µl of buffer was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AUC of ROC curves were compared using the method described by DeLong et al.</w:t>
      </w:r>
      <w:r>
        <w:t xml:space="preserve"> </w:t>
      </w:r>
      <w:r>
        <w:t xml:space="preserve">(</w:t>
      </w:r>
      <w:r>
        <w:rPr>
          <w:b/>
        </w:rPr>
        <w:t xml:space="preserve">???</w:t>
      </w:r>
      <w:r>
        <w:t xml:space="preserve">)</w:t>
      </w:r>
      <w:r>
        <w:t xml:space="preserve">. The optimal cutoff for each model was determined using Youden's</w:t>
      </w:r>
      <w:r>
        <w:t xml:space="preserve"> </w:t>
      </w:r>
      <w:r>
        <w:rPr>
          <w:i/>
        </w:rPr>
        <w:t xml:space="preserve">J</w:t>
      </w:r>
      <w:r>
        <w:t xml:space="preserve"> </w:t>
      </w:r>
      <w:r>
        <w:t xml:space="preserve">statistic as implemented in the pROC package in R</w:t>
      </w:r>
      <w:r>
        <w:t xml:space="preserve"> </w:t>
      </w:r>
      <w:r>
        <w:t xml:space="preserve">(14)</w:t>
      </w:r>
      <w:r>
        <w:t xml:space="preserve">.</w:t>
      </w:r>
    </w:p>
    <w:p>
      <w:pPr>
        <w:pStyle w:val="Heading3"/>
      </w:pPr>
      <w:bookmarkStart w:id="25" w:name="results"/>
      <w:bookmarkEnd w:id="25"/>
      <w:r>
        <w:t xml:space="preserve">Results</w:t>
      </w:r>
    </w:p>
    <w:p>
      <w:r>
        <w:t xml:space="preserve">First we tested whether the bacterial community profiles from FIT cartridges recapiulated their stool counterparts. We compared the number of species shared between FIT/stool pairs from the same individual to the number of species shared between individuals. FIT cartridges and stool from the same individual had significantly more bacterial populations in common (Fig. 1A, p&lt;0.001), indicating that community membership was conserved between stool and FIT cartridges. Next we calculated the similarity in community structure between samples using 1-thetaYC index. This metric compares the presence or absence of bacterial populations along with their relative abundance. The bacterial community structure of stool and FIT samples from the same individual were significantly more similar to each other than to stool or FIT from other individuals (Fig. 1B, p&lt;0.001, two-sample Kolmogorov-Smirnov Test). Furthermore the inter-personal variation in community structure between the stool samples of individuals was conserved in samples from FIT cartridges (p&lt;0.001, Mantel test). These findings suggest that that the overall composition of the microbiota in FIT cartridges matches that of stool.</w:t>
      </w:r>
    </w:p>
    <w:p>
      <w:r>
        <w:t xml:space="preserve">Next we compared the abundance of each genus between FIT cartridges and stool (Fig. 2A). There is a strong correlation between the average abundance of each genus in stool and FIT cartridges (Spearman rho: 0.699, p&lt;0.001), suggesting the abundance of bacterial genera is conserved FIT cartridges. This correlation especially strong for the 100 most abundant genera (Spearman rho: 0.886, p&lt;0.001). However we observed some biases in the abudance of certain taxa. In particular, the genus Pantoea was detected in 399 out of 404 FIT cartridges with an average abundance of 2.4%, but was only detected in 34 stool sample.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Moreso than bacterial genera, the abundance individuals species used as biomarkers must be conserved for FIT cartridges to be a viable alternative to stool.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w:t>
      </w:r>
      <w:r>
        <w:rPr>
          <w:b/>
        </w:rPr>
        <w:t xml:space="preserve">???</w:t>
      </w:r>
      <w:r>
        <w:t xml:space="preserve">,6,7,9)</w:t>
      </w:r>
      <w:r>
        <w:t xml:space="preserve">. We identified the OTUs associated with each of these species, then compared their abundances in stool and FIT cartridges (Fig. 2B). As expected, their abundance in stool was significantly correlated with their abundance in matched FIT cartridges (all p&lt;0.001). Therefore, bacterial biomarkers of CRC are conserved between stool and FIT cartridges.</w:t>
      </w:r>
    </w:p>
    <w:p>
      <w:r>
        <w:t xml:space="preserve">Next we tested whether bacterial abundances from FIT cartridges could be used to differentiate healthy patients from those with CRC, as has been demonstrated with stool. First we generated random forest models for differentiating healthy individuals from those with carcinomas based on the abundance of bacterial populations from stool or from FIT cartridges. The AUC-RF algorithm was used to determine the optimal selection of OTUs for each model, based on maximizing the area under the curve (AUC) of a reciever operator characteristic (ROC) curve. The optmial model based on DNA from stool utilized 32 OTUs and had an AUC of 0.853. There was no significant difference in AUC for the model based on DNA from FIT cartridges, which used 28 OTUs and had an AUC of 0.831 (p=0.41). Therefore bacterial DNA from FIT cartridges can is just as predictive as DNA isolated directly from stool.</w:t>
      </w:r>
    </w:p>
    <w:p>
      <w:r>
        <w:t xml:space="preserve">When screening for CRC it is important to detect adenomas in addition to carcinomas. Unfortunately the gut microbiota, like FIT, cannot reliably detect adenomas on its own. However, we have shown that combining bacterial abundances and hemoglobin concentration into a single model significantly imporoves detection of lesions, especially adenomas, over either method by itself. Therefore we generated random forest models that combined hemoglobin concentration as determined by FIT with bacterial abundance from either stool or FIT catrdiges. As with the cancer versus normal comparison above, there was no difference in AUC the model based on bacteria from stool and the model based on bacteria from FIT cartridge. Again, this shows that bacterial DNA isolated from FIT cartridges can be used in place of stool for detecting colonic lesions based on the microbiota.</w:t>
      </w:r>
    </w:p>
    <w:p>
      <w:pPr>
        <w:pStyle w:val="Heading3"/>
      </w:pPr>
      <w:bookmarkStart w:id="26" w:name="discussion"/>
      <w:bookmarkEnd w:id="26"/>
      <w:r>
        <w:t xml:space="preserve">Discussion</w:t>
      </w:r>
    </w:p>
    <w:p>
      <w:r>
        <w:t xml:space="preserve">In this study we demonstrated that bacterial DNA isolated from FIT cartridges recapitulates the community structure and membership of patients' stool microbiota. FIT/stool pairs were significantly more similar within an individual than between individuals, and the interindividual differences in stool microbiota structure were conserved in FIT cartridge-derived microbiota. Furthermore, FIT cartridge-derived and stool-derived bacterial DNA were equally predictive for differentiating healthy individuals from those with CRC. Finally, hemoglobin concentrations determined by FIT could be combined with microbiota from FIT cartridges to improve the sensitivity for detecting cancer.</w:t>
      </w:r>
    </w:p>
    <w:p>
      <w:r>
        <w:t xml:space="preserve">The lower biomass of FIT cartridge buffer compared to stool does increase the risk of results being influenced by contaminants. For example, an OTU associated with Pantoea was found in all FIT cartridge samples and only ##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certain genera. FIT cartridges spent more time at or near room temperature so that they could be analyzed for hemoglobin concentration. Therefore its possible that certain species were able to grow, shifting their abundance relative to stool. Any biases were limitted to a small number of genera and had no apprent impact on the ability to detect CRC from FIT cartridged-derived DNA.</w:t>
      </w:r>
    </w:p>
    <w:p>
      <w:r>
        <w:t xml:space="preserve">These findings demonstrate the potential for using DNA from FIT cartridges for microbiota-based screening. This could eliminate the need to collect and process separate stool samples, reducing the cost of screening. Furthermore, annual FIT cartridges could be used to moniter changes to a patients microbiota over time, making it possible to detect any shifts toward a disease-associated microbiome.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5943600" cy="2971800"/>
            <wp:effectExtent b="0" l="0" r="0" t="0"/>
            <wp:docPr descr="" id="1" name="Picture"/>
            <a:graphic>
              <a:graphicData uri="http://schemas.openxmlformats.org/drawingml/2006/picture">
                <pic:pic>
                  <pic:nvPicPr>
                    <pic:cNvPr descr="results/figure1.png" id="0" name="Picture"/>
                    <pic:cNvPicPr>
                      <a:picLocks noChangeArrowheads="1" noChangeAspect="1"/>
                    </pic:cNvPicPr>
                  </pic:nvPicPr>
                  <pic:blipFill>
                    <a:blip r:embed="rId28"/>
                    <a:stretch>
                      <a:fillRect/>
                    </a:stretch>
                  </pic:blipFill>
                  <pic:spPr bwMode="auto">
                    <a:xfrm>
                      <a:off x="0" y="0"/>
                      <a:ext cx="5943600" cy="2971800"/>
                    </a:xfrm>
                    <a:prstGeom prst="rect">
                      <a:avLst/>
                    </a:prstGeom>
                    <a:noFill/>
                    <a:ln w="9525">
                      <a:noFill/>
                      <a:headEnd/>
                      <a:tailEnd/>
                    </a:ln>
                  </pic:spPr>
                </pic:pic>
              </a:graphicData>
            </a:graphic>
          </wp:inline>
        </w:drawing>
      </w:r>
    </w:p>
    <w:p>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5943600" cy="4953000"/>
            <wp:effectExtent b="0" l="0" r="0" t="0"/>
            <wp:docPr descr="" id="1" name="Picture"/>
            <a:graphic>
              <a:graphicData uri="http://schemas.openxmlformats.org/drawingml/2006/picture">
                <pic:pic>
                  <pic:nvPicPr>
                    <pic:cNvPr descr="results/figure2A.png" id="0" name="Picture"/>
                    <pic:cNvPicPr>
                      <a:picLocks noChangeArrowheads="1" noChangeAspect="1"/>
                    </pic:cNvPicPr>
                  </pic:nvPicPr>
                  <pic:blipFill>
                    <a:blip r:embed="rId29"/>
                    <a:stretch>
                      <a:fillRect/>
                    </a:stretch>
                  </pic:blipFill>
                  <pic:spPr bwMode="auto">
                    <a:xfrm>
                      <a:off x="0" y="0"/>
                      <a:ext cx="5943600" cy="4953000"/>
                    </a:xfrm>
                    <a:prstGeom prst="rect">
                      <a:avLst/>
                    </a:prstGeom>
                    <a:noFill/>
                    <a:ln w="9525">
                      <a:noFill/>
                      <a:headEnd/>
                      <a:tailEnd/>
                    </a:ln>
                  </pic:spPr>
                </pic:pic>
              </a:graphicData>
            </a:graphic>
          </wp:inline>
        </w:drawing>
      </w:r>
      <w:r>
        <w:t xml:space="preserve"> </w:t>
      </w:r>
      <w:r>
        <w:drawing>
          <wp:inline>
            <wp:extent cx="5943600" cy="5283200"/>
            <wp:effectExtent b="0" l="0" r="0" t="0"/>
            <wp:docPr descr="" id="1" name="Picture"/>
            <a:graphic>
              <a:graphicData uri="http://schemas.openxmlformats.org/drawingml/2006/picture">
                <pic:pic>
                  <pic:nvPicPr>
                    <pic:cNvPr descr="results/figure2B.png" id="0" name="Picture"/>
                    <pic:cNvPicPr>
                      <a:picLocks noChangeArrowheads="1" noChangeAspect="1"/>
                    </pic:cNvPicPr>
                  </pic:nvPicPr>
                  <pic:blipFill>
                    <a:blip r:embed="rId30"/>
                    <a:stretch>
                      <a:fillRect/>
                    </a:stretch>
                  </pic:blipFill>
                  <pic:spPr bwMode="auto">
                    <a:xfrm>
                      <a:off x="0" y="0"/>
                      <a:ext cx="5943600" cy="5283200"/>
                    </a:xfrm>
                    <a:prstGeom prst="rect">
                      <a:avLst/>
                    </a:prstGeom>
                    <a:noFill/>
                    <a:ln w="9525">
                      <a:noFill/>
                      <a:headEnd/>
                      <a:tailEnd/>
                    </a:ln>
                  </pic:spPr>
                </pic:pic>
              </a:graphicData>
            </a:graphic>
          </wp:inline>
        </w:drawing>
      </w:r>
      <w:r>
        <w:t xml:space="preserve"> </w:t>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5943600" cy="5283200"/>
            <wp:effectExtent b="0" l="0" r="0" t="0"/>
            <wp:docPr descr="" id="1" name="Picture"/>
            <a:graphic>
              <a:graphicData uri="http://schemas.openxmlformats.org/drawingml/2006/picture">
                <pic:pic>
                  <pic:nvPicPr>
                    <pic:cNvPr descr="results/figure3.png" id="0" name="Picture"/>
                    <pic:cNvPicPr>
                      <a:picLocks noChangeArrowheads="1" noChangeAspect="1"/>
                    </pic:cNvPicPr>
                  </pic:nvPicPr>
                  <pic:blipFill>
                    <a:blip r:embed="rId31"/>
                    <a:stretch>
                      <a:fillRect/>
                    </a:stretch>
                  </pic:blipFill>
                  <pic:spPr bwMode="auto">
                    <a:xfrm>
                      <a:off x="0" y="0"/>
                      <a:ext cx="5943600" cy="5283200"/>
                    </a:xfrm>
                    <a:prstGeom prst="rect">
                      <a:avLst/>
                    </a:prstGeom>
                    <a:noFill/>
                    <a:ln w="9525">
                      <a:noFill/>
                      <a:headEnd/>
                      <a:tailEnd/>
                    </a:ln>
                  </pic:spPr>
                </pic:pic>
              </a:graphicData>
            </a:graphic>
          </wp:inline>
        </w:drawing>
      </w:r>
      <w:r>
        <w:t xml:space="preserve"> </w:t>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2" w:name="references-25-references"/>
      <w:bookmarkEnd w:id="32"/>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Youden WJ. Index for rating diagnostic tests. Cancer. Wiley Online Library; 1950;3:32–5.</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6f5ba0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