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Methods:</w:t>
      </w:r>
      <w:r>
        <w:t xml:space="preserve"> </w:t>
      </w:r>
      <w:r>
        <w:t xml:space="preserve">Using stool samples collected from 404 patients we tested whether the residual buffer containing resuspended feces in FIT cartridges could be used in place of intact stool samples.</w:t>
      </w:r>
      <w:r>
        <w:br w:type="textWrapping"/>
      </w:r>
      <w:r>
        <w:rPr>
          <w:b/>
        </w:rPr>
        <w:t xml:space="preserve">Results:</w:t>
      </w:r>
      <w:r>
        <w:t xml:space="preserve"> </w:t>
      </w:r>
      <w:r>
        <w:t xml:space="preserve">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FIT cartridges in place of stool for microbiota-based screening for CRC or other microbiome-associated diseases.</w:t>
      </w:r>
      <w:r>
        <w:br w:type="textWrapping"/>
      </w:r>
      <w:r>
        <w:rPr>
          <w:b/>
        </w:rPr>
        <w:t xml:space="preserve">Impact:</w:t>
      </w:r>
      <w:r>
        <w:t xml:space="preserve"> </w:t>
      </w:r>
      <w:r>
        <w:t xml:space="preserve">This could reduce the need to collect and process separate stool samples and facilitate combining FIT and microbiota-based biomarkers into a single test. Additionally, FIT cartridges could provide a new source of data for studying the role of the microbiome in CRC and other diseases.</w:t>
      </w:r>
    </w:p>
    <w:p>
      <w:pPr>
        <w:pStyle w:val="Heading3"/>
      </w:pPr>
      <w:bookmarkStart w:id="23" w:name="introduction"/>
      <w:bookmarkEnd w:id="23"/>
      <w:r>
        <w:t xml:space="preserve">Introduction</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 However more than a third of individuals for whom screening is recommended do not adhere to screening guidelines</w:t>
      </w:r>
      <w:r>
        <w:t xml:space="preserve"> </w:t>
      </w:r>
      <w:r>
        <w:t xml:space="preserve">(2)</w:t>
      </w:r>
      <w:r>
        <w:t xml:space="preserve">. The high cost and invasive nature of structural exams, such as colonoscopy and sigmoidoscopy are barriers for many people</w:t>
      </w:r>
      <w:r>
        <w:t xml:space="preserve"> </w:t>
      </w:r>
      <w:r>
        <w:t xml:space="preserve">(3,4)</w:t>
      </w:r>
      <w:r>
        <w:t xml:space="preserve">. Unfortunately less expensive non-invasive tests, such as the guaiac fecal occult blood test (gFOBT) and fecal immunochemical test (FIT) fail to reliably detect adenomas</w:t>
      </w:r>
      <w:r>
        <w:t xml:space="preserve"> </w:t>
      </w:r>
      <w:r>
        <w:t xml:space="preserve">(5)</w:t>
      </w:r>
      <w:r>
        <w:t xml:space="preserve">.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(6–9)</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(6,7,9)</w:t>
      </w:r>
      <w:r>
        <w:t xml:space="preserve">. One limitation of microbiota-based CRC screening is the need to collect and process separate stool samples for microbiota characterization. Given the widespread use of FIT to collect specimens for screening, using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FIT cartridges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4" w:name="materials-and-methods"/>
      <w:bookmarkEnd w:id="24"/>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Patients were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 FIT-CHEK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(10)</w:t>
      </w:r>
      <w:r>
        <w:t xml:space="preserve">. The 16S rRNA gene sequences were curated using the mothur software package, as described previously</w:t>
      </w:r>
      <w:r>
        <w:t xml:space="preserve"> </w:t>
      </w:r>
      <w:r>
        <w:t xml:space="preserve">(10,11)</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(12)</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(13)</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(14)</w:t>
      </w:r>
      <w:r>
        <w:t xml:space="preserve"> </w:t>
      </w:r>
      <w:r>
        <w:t xml:space="preserve">as implemented in the pROC R package</w:t>
      </w:r>
      <w:r>
        <w:t xml:space="preserve"> </w:t>
      </w:r>
      <w:r>
        <w:t xml:space="preserve">(15)</w:t>
      </w:r>
      <w:r>
        <w:t xml:space="preserve">.</w:t>
      </w:r>
    </w:p>
    <w:p>
      <w:pPr>
        <w:pStyle w:val="Heading3"/>
      </w:pPr>
      <w:bookmarkStart w:id="25" w:name="results"/>
      <w:bookmarkEnd w:id="25"/>
      <w:r>
        <w:t xml:space="preserve">Results</w:t>
      </w:r>
    </w:p>
    <w:p>
      <w:r>
        <w:t xml:space="preserve">We tested whether the bacterial community profiles from FIT cartridges recapitulated their stool counterparts. First, we compared the number of OTUs shared between FIT/stool pairs from the same patient to the number of OTUs shared between patients. FIT cartridges and stool from the same patient had significantly more bacterial populations in common than those take from different patients (Fig. 1A, p&lt;0.001, two-sample Kolmogorov-Smirnov test), indicating that community membership was conserved between stool and FIT cartridges. Second, we calculated the similarity in community structure between samples using 1-thetaYC index</w:t>
      </w:r>
      <w:r>
        <w:t xml:space="preserve"> </w:t>
      </w:r>
      <w:r>
        <w:t xml:space="preserve">(16)</w:t>
      </w:r>
      <w:r>
        <w:t xml:space="preserve">. This metric compares the presence or absence of bacterial populations and their relative abundance. The bacterial community structure of stool and FIT samples from the same patient were significantly more similar to each other than to stool or FIT from other patients (Fig. 1B, p&lt;0.001). Finally, we observed that the inter-personal variation in community structure between the stool samples of patients was conserved in samples from FIT cartridges (Mantel test r=0.525, p&lt;0.001). Next, we observed a significant correlation between the abundance of each genus in the paired FIT cartridge and stool samples (Fig. 2A, Spearman rho: 0.699, p&lt;0.001). This suggested that the abundance of bacterial genera was conserved. This correlation was especially strong for the 100 most abundant genera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(7–9,17)</w:t>
      </w:r>
      <w:r>
        <w:t xml:space="preserve">. As expected, the abundance of these species in stool was significantly correlated with their abundance in matched FIT cartridges (all p&lt;0.001)(Fig.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the intact stool samples</w:t>
      </w:r>
      <w:r>
        <w:t xml:space="preserve"> </w:t>
      </w:r>
      <w:r>
        <w:t xml:space="preserve">(9)</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was as predictive as models based on DNA isolated directly from stool.</w:t>
      </w:r>
    </w:p>
    <w:p>
      <w:pPr>
        <w:pStyle w:val="Heading3"/>
      </w:pPr>
      <w:bookmarkStart w:id="26" w:name="discussion"/>
      <w:bookmarkEnd w:id="26"/>
      <w:r>
        <w:t xml:space="preserve">Discussion</w:t>
      </w:r>
    </w:p>
    <w:p>
      <w:r>
        <w:t xml:space="preserve">Bacterial DNA isolated from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The use of FIT cartridges introduced the possibility of sample contamination or bias in the representation of individual OTUs.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(18)</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effect the ability to detect CRC from FIT cartridge-derived DNA.</w:t>
      </w:r>
    </w:p>
    <w:p>
      <w:r>
        <w:t xml:space="preserve">These findings demonstrate the potential for using DNA extracted from FIT cartridges for microbiota-based screening. This could reduce the need to collect and process separate stool samples, reducing the cost of screening. Using samples collected from patients that undergo annual FIT screening could be used to monitor temporal changes to a patient's microbiota, making it possible to detect any shifts toward a disease-associated microbiota. It would also be possible to use FIT cartridges rather than separate stool samples for future studies on the role of the gut microbiota and CRC. Since FIT cartridges are already collected for CRC screening, it may be easier to recruit patients for large-scale validations of microbiota-based screening methods.</w:t>
      </w:r>
    </w:p>
    <w:p>
      <w:pPr>
        <w:pStyle w:val="Heading3"/>
      </w:pPr>
      <w:bookmarkStart w:id="27" w:name="disclosure-of-potential-conflicts-of-interest"/>
      <w:bookmarkEnd w:id="27"/>
      <w:r>
        <w:t xml:space="preserve">Disclosure of Potential Conflicts of Interest</w:t>
      </w:r>
    </w:p>
    <w:p>
      <w:r>
        <w:t xml:space="preserve">The authors declare no conficts of interests.</w:t>
      </w:r>
    </w:p>
    <w:p>
      <w:pPr>
        <w:pStyle w:val="Heading3"/>
      </w:pPr>
      <w:bookmarkStart w:id="28" w:name="authors-contributions"/>
      <w:bookmarkEnd w:id="28"/>
      <w:r>
        <w:t xml:space="preserve">Authors' Contributions</w:t>
      </w:r>
    </w:p>
    <w:p>
      <w:r>
        <w:rPr>
          <w:b/>
        </w:rPr>
        <w:t xml:space="preserve">Conception and design:</w:t>
      </w:r>
      <w:r>
        <w:t xml:space="preserve"> </w:t>
      </w:r>
      <w:r>
        <w:t xml:space="preserve">N.T. Baxter, M.A.M. Rogers, M.T. Ruffin, P.D. Schloss</w:t>
      </w:r>
      <w:r>
        <w:br w:type="textWrapping"/>
      </w:r>
      <w:r>
        <w:rPr>
          <w:b/>
        </w:rPr>
        <w:t xml:space="preserve">Acquisition of data:</w:t>
      </w:r>
      <w:r>
        <w:t xml:space="preserve"> </w:t>
      </w:r>
      <w:r>
        <w:t xml:space="preserve">N.T. Baxter, C.C. Koumpouras, M.T. Ruffin</w:t>
      </w:r>
      <w:r>
        <w:br w:type="textWrapping"/>
      </w:r>
      <w:r>
        <w:rPr>
          <w:b/>
        </w:rPr>
        <w:t xml:space="preserve">Analysis and interpretation of data:</w:t>
      </w:r>
      <w:r>
        <w:t xml:space="preserve"> </w:t>
      </w:r>
      <w:r>
        <w:t xml:space="preserve">N.T. Baxter, P.D. Schloss</w:t>
      </w:r>
      <w:r>
        <w:br w:type="textWrapping"/>
      </w:r>
      <w:r>
        <w:rPr>
          <w:b/>
        </w:rPr>
        <w:t xml:space="preserve">Writing, review, and/or revision of the manuscript:</w:t>
      </w:r>
      <w:r>
        <w:t xml:space="preserve"> </w:t>
      </w:r>
      <w:r>
        <w:t xml:space="preserve">N.T. Baxter, C.C. Koumpouras, M.A.M. Rogers, M.T. Ruffin, P.D. Schloss</w:t>
      </w:r>
      <w:r>
        <w:br w:type="textWrapping"/>
      </w:r>
      <w:r>
        <w:rPr>
          <w:b/>
        </w:rPr>
        <w:t xml:space="preserve">Administrative, technical, or material support:</w:t>
      </w:r>
      <w:r>
        <w:t xml:space="preserve"> </w:t>
      </w:r>
      <w:r>
        <w:t xml:space="preserve">N.T. Baxter, C.C. Koumpouras</w:t>
      </w:r>
    </w:p>
    <w:p>
      <w:pPr>
        <w:pStyle w:val="Heading3"/>
      </w:pPr>
      <w:bookmarkStart w:id="29" w:name="funding"/>
      <w:bookmarkEnd w:id="29"/>
      <w:r>
        <w:t xml:space="preserve">Funding</w:t>
      </w:r>
    </w:p>
    <w:p>
      <w:r>
        <w:t xml:space="preserve">This study was supported by funding from the National Institutes of Health to P. Schloss (R01GM099514, P30DK034933) and to the Early Detection Research Network (U01CA86400).</w:t>
      </w:r>
    </w:p>
    <w:p>
      <w:pPr>
        <w:pStyle w:val="Heading3"/>
      </w:pPr>
      <w:bookmarkStart w:id="30" w:name="figures"/>
      <w:bookmarkEnd w:id="30"/>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1" w:name="references"/>
      <w:bookmarkEnd w:id="31"/>
      <w:r>
        <w:t xml:space="preserve">References</w:t>
      </w:r>
    </w:p>
    <w:p>
      <w:pPr>
        <w:pStyle w:val="Bibliography"/>
      </w:pPr>
      <w:r>
        <w:t xml:space="preserve">1. Siegel R, DeSantis C, Jemal A. Colorectal cancer statistics, 2014. CA: a cancer journal for clinicians. Wiley Online Library; 2014;64:104–17.</w:t>
      </w:r>
      <w:r>
        <w:t xml:space="preserve"> </w:t>
      </w:r>
    </w:p>
    <w:p>
      <w:pPr>
        <w:pStyle w:val="Bibliography"/>
      </w:pPr>
      <w:r>
        <w:t xml:space="preserve">2. Centers for Disease Control and Prevention. Vital signs: Colorectal cancer screening test use–United states, 2012. MMWR Morbidity and mortality weekly report. 2013;62:881.</w:t>
      </w:r>
      <w:r>
        <w:t xml:space="preserve"> </w:t>
      </w:r>
    </w:p>
    <w:p>
      <w:pPr>
        <w:pStyle w:val="Bibliography"/>
      </w:pPr>
      <w:r>
        <w:t xml:space="preserve">3. Hsia J, Kemper E, Kiefe C, Zapka J, Sofaer S, Pettinger M, et al. The importance of health insurance as a determinant of cancer screening: evidence from the Women’s Health Initiative. Preventive medicine. Elsevier; 2000;31:261–70.</w:t>
      </w:r>
      <w:r>
        <w:t xml:space="preserve"> </w:t>
      </w:r>
    </w:p>
    <w:p>
      <w:pPr>
        <w:pStyle w:val="Bibliography"/>
      </w:pPr>
      <w:r>
        <w:t xml:space="preserve">4. Jones RM, Devers KJ, Kuzel AJ, Woolf SH. Patient-reported barriers to colorectal cancer screening: a mixed-methods analysis. American journal of preventive medicine. Elsevier; 2010;38:508–16.</w:t>
      </w:r>
      <w:r>
        <w:t xml:space="preserve"> </w:t>
      </w:r>
    </w:p>
    <w:p>
      <w:pPr>
        <w:pStyle w:val="Bibliography"/>
      </w:pPr>
      <w:r>
        <w:t xml:space="preserve">5. Hundt S, Haug U, Brenner H. Comparative evaluation of immunochemical fecal occult blood tests for colorectal adenoma detection. Annals of Internal Medicine. Am Coll Physicians; 2009;150:162–9.</w:t>
      </w:r>
      <w:r>
        <w:t xml:space="preserve"> </w:t>
      </w:r>
    </w:p>
    <w:p>
      <w:pPr>
        <w:pStyle w:val="Bibliography"/>
      </w:pPr>
      <w:r>
        <w:t xml:space="preserve">6. Zackular JP, Rogers MA, Ruffin MT, Schloss PD. The human gut microbiome as a screening tool for colorectal cancer. Cancer Prevention Research. AACR; 2014;7:1112–21.</w:t>
      </w:r>
      <w:r>
        <w:t xml:space="preserve"> </w:t>
      </w:r>
    </w:p>
    <w:p>
      <w:pPr>
        <w:pStyle w:val="Bibliography"/>
      </w:pPr>
      <w:r>
        <w:t xml:space="preserve">7. Zeller G, Tap J, Voigt AY, Sunagawa S, Kultima JR, Costea PI, et al. Potential of fecal microbiota for early-stage detection of colorectal cancer. Molecular systems biology. EMBO Press; 2014;10:766.</w:t>
      </w:r>
      <w:r>
        <w:t xml:space="preserve"> </w:t>
      </w:r>
    </w:p>
    <w:p>
      <w:pPr>
        <w:pStyle w:val="Bibliography"/>
      </w:pPr>
      <w:r>
        <w:t xml:space="preserve">8. Yu J, Feng Q, Wong SH, Zhang D, Liang Q yi, Qin Y, et al. Metagenomic analysis of faecal microbiome as a tool towards targeted non-invasive biomarkers for colorectal cancer. Gut. BMJ Publishing Group Ltd and British Society of Gastroenterology; 2015;gutjnl–l2015.</w:t>
      </w:r>
      <w:r>
        <w:t xml:space="preserve"> </w:t>
      </w:r>
    </w:p>
    <w:p>
      <w:pPr>
        <w:pStyle w:val="Bibliography"/>
      </w:pPr>
      <w:r>
        <w:t xml:space="preserve">9. Baxter NT, Ruffin MT, Rogers MA, Schloss PD. Microbiota-based model improves the sensitivity for detecting colonic lesions. Genome Medicine. BMC; 2016;8:1–10.</w:t>
      </w:r>
      <w:r>
        <w:t xml:space="preserve"> </w:t>
      </w:r>
    </w:p>
    <w:p>
      <w:pPr>
        <w:pStyle w:val="Bibliography"/>
      </w:pPr>
      <w:r>
        <w:t xml:space="preserve">10. Kozich JJ, Westcott SL, Baxter NT, Highlander SK, Schloss PD. Development of a dual-index sequencing strategy and curation pipeline for analyzing amplicon sequence data on the MiSeq Illumina sequencing platform. Applied and environmental microbiology. Am Soc Microbiol; 2013;79:5112–20.</w:t>
      </w:r>
      <w:r>
        <w:t xml:space="preserve"> </w:t>
      </w:r>
    </w:p>
    <w:p>
      <w:pPr>
        <w:pStyle w:val="Bibliography"/>
      </w:pPr>
      <w:r>
        <w:t xml:space="preserve">11. Schloss PD, Westcott SL, Ryabin T, Hall JR, Hartmann M, Hollister EB, et al. Introducing mothur: open-source, platform-independent, community-supported software for describing and comparing microbial communities. Applied and environmental microbiology. Am Soc Microbiol; 2009;75:7537–41.</w:t>
      </w:r>
      <w:r>
        <w:t xml:space="preserve"> </w:t>
      </w:r>
    </w:p>
    <w:p>
      <w:pPr>
        <w:pStyle w:val="Bibliography"/>
      </w:pPr>
      <w:r>
        <w:t xml:space="preserve">12. Wang Q, Garrity GM, Tiedje JM, Cole JR. Naive bayesian classifier for rapid assignment of rRNA sequences into the new bacterial taxonomy. Applied and environmental microbiology. Am Soc Microbiol; 2007;73:5261–7.</w:t>
      </w:r>
      <w:r>
        <w:t xml:space="preserve"> </w:t>
      </w:r>
    </w:p>
    <w:p>
      <w:pPr>
        <w:pStyle w:val="Bibliography"/>
      </w:pPr>
      <w:r>
        <w:t xml:space="preserve">13. Calle ML, Urrea V, Boulesteix A-L, Malats N. AUC-RF: A new strategy for genomic profiling with random forest. Human heredity. Karger Publishers; 2011;72:121–32.</w:t>
      </w:r>
      <w:r>
        <w:t xml:space="preserve"> </w:t>
      </w:r>
    </w:p>
    <w:p>
      <w:pPr>
        <w:pStyle w:val="Bibliography"/>
      </w:pPr>
      <w:r>
        <w:t xml:space="preserve">14. DeLong ER, DeLong DM, Clarke-Pearson DL. Comparing the areas under two or more correlated receiver operating characteristic curves: a nonparametric approach. Biometrics. JSTOR; 1988;837–45.</w:t>
      </w:r>
      <w:r>
        <w:t xml:space="preserve"> </w:t>
      </w:r>
    </w:p>
    <w:p>
      <w:pPr>
        <w:pStyle w:val="Bibliography"/>
      </w:pPr>
      <w:r>
        <w:t xml:space="preserve">15. Robin X, Turck N, Hainard A, Tiberti N, Lisacek F, Sanchez J-C, et al. pROC: an open-source package for R and S+ to analyze and compare ROC curves. BMC bioinformatics. BioMed Central; 2011;12:1.</w:t>
      </w:r>
      <w:r>
        <w:t xml:space="preserve"> </w:t>
      </w:r>
    </w:p>
    <w:p>
      <w:pPr>
        <w:pStyle w:val="Bibliography"/>
      </w:pPr>
      <w:r>
        <w:t xml:space="preserve">16. Yue JC, Clayton MK. A similarity measure based on species proportions. Communications in Statistics-Theory and Methods. Taylor &amp; Francis; 2005;34:2123–31.</w:t>
      </w:r>
      <w:r>
        <w:t xml:space="preserve"> </w:t>
      </w:r>
    </w:p>
    <w:p>
      <w:pPr>
        <w:pStyle w:val="Bibliography"/>
      </w:pPr>
      <w:r>
        <w:t xml:space="preserve">17. Warren RL, Freeman DJ, Pleasance S, Watson P, Moore RA, Cochrane K, et al. Co-occurrence of anaerobic bacteria in colorectal carcinomas. Microbiome. BioMed Central Ltd; 2013;1:16.</w:t>
      </w:r>
      <w:r>
        <w:t xml:space="preserve"> </w:t>
      </w:r>
    </w:p>
    <w:p>
      <w:pPr>
        <w:pStyle w:val="Bibliography"/>
      </w:pPr>
      <w:r>
        <w:t xml:space="preserve">18. Salter SJ, Cox MJ, Turek EM, Calus ST, Cookson WO, Moffatt MF, et al. Reagent and laboratory contamination can critically impact sequence-based microbiome analyses. BMC biology. BioMed Central Ltd; 2014;12:87.</w:t>
      </w:r>
      <w:r>
        <w:t xml:space="preserve"> </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43d6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