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tiff" ContentType="image/tiff"/>
  <Override PartName="/word/media/rId29.tiff" ContentType="image/tiff"/>
  <Override PartName="/word/media/rId30.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and others have shown that combining microbiota-analysis with conventional diagnostics, like gFOBT and FIT, can significantly improve the detection of colonic lesions over either method by itself</w:t>
      </w:r>
      <w:r>
        <w:t xml:space="preserve"> </w:t>
      </w:r>
      <w:r>
        <w:t xml:space="preserve">(6,8,9)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Processed FIT samples were thawed, and 100 µl of buffer were withdrawn by pipette for DNA extraction. DNA was isolated from FIT samples or matching stool samples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t xml:space="preserve"> </w:t>
      </w:r>
      <w:r>
        <w:t xml:space="preserve">(10)</w:t>
      </w:r>
      <w:r>
        <w:t xml:space="preserve">. The 16S rRNA gene sequences were curated using the mothur software package, as described previously</w:t>
      </w:r>
      <w:r>
        <w:t xml:space="preserve"> </w:t>
      </w:r>
      <w:r>
        <w:t xml:space="preserve">(10,11)</w:t>
      </w:r>
      <w:r>
        <w:t xml:space="preserve">. Curated sequences were clustered into operational taxonomic units (OTUs) using a 97% similarity cutoff with the average neighbor clustering algorithm. Sequences were classified using a naive Bayesian classifier trained against a 16S rRNA gene training set provided by the Ribosomal Database Project (RDP)</w:t>
      </w:r>
      <w:r>
        <w:t xml:space="preserve"> </w:t>
      </w:r>
      <w:r>
        <w:t xml:space="preserve">(12)</w:t>
      </w:r>
      <w:r>
        <w:t xml:space="preserve">. Species-level classifications for OTUs of interest were determined by blasting the predominant sequences within each OTU to the NCBI 16S rRNA database. The putative species was only reported for OTUs with greater than 99% sequence identity to a single species in the database; otherwise the consensus RDP classification was used.</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(13)</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(14)</w:t>
      </w:r>
      <w:r>
        <w:t xml:space="preserve"> </w:t>
      </w:r>
      <w:r>
        <w:t xml:space="preserve">as implemented in the pROC R package</w:t>
      </w:r>
      <w:r>
        <w:t xml:space="preserve"> </w:t>
      </w:r>
      <w:r>
        <w:t xml:space="preserve">(15)</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test r=0.52, p&lt;0.001). These findings suggest that that the overall composition of the microbiota in FIT cartridges matches that of stool.</w:t>
      </w:r>
    </w:p>
    <w:p>
      <w:r>
        <w:t xml:space="preserve">Next, we compared the abundance of each genus in the FIT cartridges and stool (Fig. 2A). There was a significant correlation between the average abundance of each genus in stool and FIT cartridges (Fig. 2A,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(6,7,9,16)</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from FIT cartridges could be used to differentiate healthy patients from those with carcinomas using random forest models, as has been demonstrated with stool</w:t>
      </w:r>
      <w:r>
        <w:t xml:space="preserve"> </w:t>
      </w:r>
      <w:r>
        <w:t xml:space="preserve">(9)</w:t>
      </w:r>
      <w:r>
        <w:t xml:space="preserve">. Using DNA from the FIT cartridge, the optimal model utilized 50 OTUs and had an AUC of 0.843. There was no significant difference in the AUC for this model and the model based on DNA isolated directly from stool, which used 67 OTUs and had an AUC of 0.840 (p=0.92). We also generated random forest models for differentiating healthy patients from those with any type of lesions (i.e. adenoma or carcinoma). There was no difference in AUC between the stool-based model with 41 OTUs (AUC=0.700) and the FIT cartridge-based model with 41 OTUs (AUC=0.686,p=0.65). These findings demonstrated that models based on bacterial DNA from FIT cartridges could be as predictive as models based on DNA isolated directly from stool.</w:t>
      </w:r>
    </w:p>
    <w:p>
      <w:pPr>
        <w:pStyle w:val="Heading3"/>
      </w:pPr>
      <w:bookmarkStart w:id="26" w:name="discussion"/>
      <w:bookmarkEnd w:id="26"/>
      <w:r>
        <w:t xml:space="preserve">Discussion</w:t>
      </w:r>
    </w:p>
    <w:p>
      <w:r>
        <w:t xml:space="preserve">Bacterial DNA isolated from FIT cartridges recapitulates the community structure and membership of patients' stool microbiota. FIT/stool pairs collected from the same patient were significantly more similar to each other than samples from different patients and the inter-patient differences in stool microbiota structure were conserved in FIT cartridge-derived microbiota. More importantly, random forest models generated using bacterial abundances from FIT cartridge-derived and stool-derived DNA were equally predictive for differentiating healthy patients from those with adenomas and carcinomas.</w:t>
      </w:r>
    </w:p>
    <w:p>
      <w:r>
        <w:t xml:space="preserve">The lower biomass of FIT cartridge buffer compared to stool does increase the risk of results being influenced by contaminating bacterial DNA. For example, an OTU associated with</w:t>
      </w:r>
      <w:r>
        <w:t xml:space="preserve"> </w:t>
      </w:r>
      <w:r>
        <w:rPr>
          <w:i/>
        </w:rPr>
        <w:t xml:space="preserve">Pantoea</w:t>
      </w:r>
      <w:r>
        <w:t xml:space="preserve"> </w:t>
      </w:r>
      <w:r>
        <w:t xml:space="preserve">was found in 98.7% of FIT cartridge samples and only 8.4% of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the relative abundances of certain genera. FIT cartridges spent more time exposed to ambient temperatures in order to be analyzed for hemoglobin concentration. Therefore it is possible that certain bacterial populations, especially aerobes, were able to grow. Any biases were limited to a small number of genera and had no apparent impact on the ability to detect CRC from FIT cartridge-derived DNA.</w:t>
      </w:r>
    </w:p>
    <w:p>
      <w:r>
        <w:t xml:space="preserve">These findings demonstrate the potential for using DNA extracted from FIT cartridges for microbiota-based screening. This could eliminate the need to collect and process separate stool samples, reducing the cost of screening. Furthermore, using samples from patients that undergo annual FIT screening could be used to monitor temporal changes to a patient's microbiota, making it possible to detect any shifts toward a disease-associated microbiota.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1524000" cy="1524000"/>
            <wp:effectExtent b="0" l="0" r="0" t="0"/>
            <wp:docPr descr="" id="1" name="Picture"/>
            <a:graphic>
              <a:graphicData uri="http://schemas.openxmlformats.org/drawingml/2006/picture">
                <pic:pic>
                  <pic:nvPicPr>
                    <pic:cNvPr descr="results/figure1.tiff" id="0" name="Picture"/>
                    <pic:cNvPicPr>
                      <a:picLocks noChangeArrowheads="1" noChangeAspect="1"/>
                    </pic:cNvPicPr>
                  </pic:nvPicPr>
                  <pic:blipFill>
                    <a:blip r:embed="rId28"/>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1524000" cy="1524000"/>
            <wp:effectExtent b="0" l="0" r="0" t="0"/>
            <wp:docPr descr="" id="1" name="Picture"/>
            <a:graphic>
              <a:graphicData uri="http://schemas.openxmlformats.org/drawingml/2006/picture">
                <pic:pic>
                  <pic:nvPicPr>
                    <pic:cNvPr descr="results/figure2.tiff" id="0" name="Picture"/>
                    <pic:cNvPicPr>
                      <a:picLocks noChangeArrowheads="1" noChangeAspect="1"/>
                    </pic:cNvPicPr>
                  </pic:nvPicPr>
                  <pic:blipFill>
                    <a:blip r:embed="rId29"/>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1524000" cy="1524000"/>
            <wp:effectExtent b="0" l="0" r="0" t="0"/>
            <wp:docPr descr="" id="1" name="Picture"/>
            <a:graphic>
              <a:graphicData uri="http://schemas.openxmlformats.org/drawingml/2006/picture">
                <pic:pic>
                  <pic:nvPicPr>
                    <pic:cNvPr descr="results/figure3.tiff" id="0" name="Picture"/>
                    <pic:cNvPicPr>
                      <a:picLocks noChangeArrowheads="1" noChangeAspect="1"/>
                    </pic:cNvPicPr>
                  </pic:nvPicPr>
                  <pic:blipFill>
                    <a:blip r:embed="rId30"/>
                    <a:stretch>
                      <a:fillRect/>
                    </a:stretch>
                  </pic:blipFill>
                  <pic:spPr bwMode="auto">
                    <a:xfrm>
                      <a:off x="0" y="0"/>
                      <a:ext cx="1524000" cy="1524000"/>
                    </a:xfrm>
                    <a:prstGeom prst="rect">
                      <a:avLst/>
                    </a:prstGeom>
                    <a:noFill/>
                    <a:ln w="9525">
                      <a:noFill/>
                      <a:headEnd/>
                      <a:tailEnd/>
                    </a:ln>
                  </pic:spPr>
                </pic:pic>
              </a:graphicData>
            </a:graphic>
          </wp:inline>
        </w:drawing>
      </w:r>
      <w:r>
        <w:br w:type="textWrapping"/>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1" w:name="references-25-references"/>
      <w:bookmarkEnd w:id="31"/>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Kozich JJ, Westcott SL, Baxter NT, Highlander SK, Schloss PD. Development of a dual-index sequencing strategy and curation pipeline for analyzing amplicon sequence data on the MiSeq Illumina sequencing platform. Applied and environmental microbiology. Am Soc Microbiol; 2013;79:5112–20.</w:t>
      </w:r>
      <w:r>
        <w:t xml:space="preserve"> </w:t>
      </w:r>
    </w:p>
    <w:p>
      <w:pPr>
        <w:pStyle w:val="Bibliography"/>
      </w:pPr>
      <w:r>
        <w:t xml:space="preserve">11. Schloss PD, Westcott SL, Ryabin T, Hall JR, Hartmann M, Hollister EB, et al. Introducing mothur: open-source, platform-independent, community-supported software for describing and comparing microbial communities. Applied and environmental microbiology. Am Soc Microbiol; 2009;75:7537–41.</w:t>
      </w:r>
      <w:r>
        <w:t xml:space="preserve"> </w:t>
      </w:r>
    </w:p>
    <w:p>
      <w:pPr>
        <w:pStyle w:val="Bibliography"/>
      </w:pPr>
      <w:r>
        <w:t xml:space="preserve">12. Wang Q, Garrity GM, Tiedje JM, Cole JR. Naive bayesian classifier for rapid assignment of rRNA sequences into the new bacterial taxonomy. Applied and environmental microbiology. Am Soc Microbiol; 2007;73:5261–7.</w:t>
      </w:r>
      <w:r>
        <w:t xml:space="preserve"> </w:t>
      </w:r>
    </w:p>
    <w:p>
      <w:pPr>
        <w:pStyle w:val="Bibliography"/>
      </w:pPr>
      <w:r>
        <w:t xml:space="preserve">13. Calle ML, Urrea V, Boulesteix A-L, Malats N. AUC-RF: A new strategy for genomic profiling with random forest. Human heredity. Karger Publishers; 2011;72:121–32.</w:t>
      </w:r>
      <w:r>
        <w:t xml:space="preserve"> </w:t>
      </w:r>
    </w:p>
    <w:p>
      <w:pPr>
        <w:pStyle w:val="Bibliography"/>
      </w:pPr>
      <w:r>
        <w:t xml:space="preserve">14. DeLong ER, DeLong DM, Clarke-Pearson DL. Comparing the areas under two or more correlated receiver operating characteristic curves: a nonparametric approach. Biometrics. JSTOR; 1988;837–45.</w:t>
      </w:r>
      <w:r>
        <w:t xml:space="preserve"> </w:t>
      </w:r>
    </w:p>
    <w:p>
      <w:pPr>
        <w:pStyle w:val="Bibliography"/>
      </w:pPr>
      <w:r>
        <w:t xml:space="preserve">15. Robin X, Turck N, Hainard A, Tiberti N, Lisacek F, Sanchez J-C, et al. pROC: an open-source package for R and S+ to analyze and compare ROC curves. BMC bioinformatics. BioMed Central; 2011;12:1.</w:t>
      </w:r>
      <w:r>
        <w:t xml:space="preserve"> </w:t>
      </w:r>
    </w:p>
    <w:p>
      <w:pPr>
        <w:pStyle w:val="Bibliography"/>
      </w:pPr>
      <w:r>
        <w:t xml:space="preserve">16. Warren RL, Freeman DJ, Pleasance S, Watson P, Moore RA, Cochrane K, et al. Co-occurrence of anaerobic bacteria in colorectal carcinomas. Microbiome. BioMed Central Ltd; 2013;1:16.</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30af4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tiff" /><Relationship Type="http://schemas.openxmlformats.org/officeDocument/2006/relationships/image" Id="rId29" Target="media/rId29.tiff" /><Relationship Type="http://schemas.openxmlformats.org/officeDocument/2006/relationships/image" Id="rId30" Target="media/rId30.tiff"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