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Furthermore, the probabilities of individuals having lesions according to the model from stool was correlated with probabilities determined by the model from FIT cartridges (Spearman rho: 0.645, p&lt;0.001, Fig. 3B). We also generated random forest models for differentiating healthy patients from those with any type of lesions (i.e. adenoma or carcinoma). There was no difference in AUC between the stool-based model with 41 OTUs (AUC=0.700) and the FIT cartridge-based model with 41 OTUs (AUC=0.686, p=0.65). Again, the probabilities of individuals having lesions according to the two models were significantly correlated (Spearman rho: 0.389, p&lt;0.001, Fig. 3D).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f540c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