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r>
        <w:rPr>
          <w:b/>
        </w:rPr>
        <w:t xml:space="preserve">Email addresses:</w:t>
      </w:r>
      <w:r>
        <w:br w:type="textWrapping"/>
      </w:r>
      <w:r>
        <w:t xml:space="preserve">NTB:</w:t>
      </w:r>
      <w:r>
        <w:t xml:space="preserve"> </w:t>
      </w:r>
      <w:hyperlink r:id="rId22">
        <w:r>
          <w:rPr>
            <w:rStyle w:val="Link"/>
          </w:rPr>
          <w:t xml:space="preserve">ntbaxter@umich.edu</w:t>
        </w:r>
      </w:hyperlink>
      <w:r>
        <w:br w:type="textWrapping"/>
      </w:r>
      <w:r>
        <w:t xml:space="preserve">CCK:</w:t>
      </w:r>
      <w:r>
        <w:t xml:space="preserve"> </w:t>
      </w:r>
      <w:hyperlink r:id="rId23">
        <w:r>
          <w:rPr>
            <w:rStyle w:val="Link"/>
          </w:rPr>
          <w:t xml:space="preserve">chkoumpo@umich.edu</w:t>
        </w:r>
      </w:hyperlink>
      <w:r>
        <w:br w:type="textWrapping"/>
      </w:r>
      <w:r>
        <w:t xml:space="preserve">MAMR:</w:t>
      </w:r>
      <w:r>
        <w:t xml:space="preserve"> </w:t>
      </w:r>
      <w:hyperlink r:id="rId24">
        <w:r>
          <w:rPr>
            <w:rStyle w:val="Link"/>
          </w:rPr>
          <w:t xml:space="preserve">maryroge@med.umich.edu</w:t>
        </w:r>
      </w:hyperlink>
      <w:r>
        <w:br w:type="textWrapping"/>
      </w:r>
      <w:r>
        <w:t xml:space="preserve">MTR:</w:t>
      </w:r>
      <w:r>
        <w:t xml:space="preserve"> </w:t>
      </w:r>
      <w:hyperlink r:id="rId25">
        <w:r>
          <w:rPr>
            <w:rStyle w:val="Link"/>
          </w:rPr>
          <w:t xml:space="preserve">mruffin@med.umich.edu</w:t>
        </w:r>
      </w:hyperlink>
      <w:r>
        <w:br w:type="textWrapping"/>
      </w:r>
      <w:r>
        <w:t xml:space="preserve">PDS:</w:t>
      </w:r>
      <w:r>
        <w:t xml:space="preserve"> </w:t>
      </w:r>
      <w:hyperlink r:id="rId21">
        <w:r>
          <w:rPr>
            <w:rStyle w:val="Link"/>
          </w:rPr>
          <w:t xml:space="preserve">pschloss@umich.edu</w:t>
        </w:r>
      </w:hyperlink>
    </w:p>
    <w:p>
      <w:pPr>
        <w:pStyle w:val="Heading3"/>
      </w:pPr>
      <w:bookmarkStart w:id="26" w:name="abstract"/>
      <w:bookmarkEnd w:id="26"/>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individuals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Unfortunately non-invasive tests, such as the guaiac fecal occult blood test (gFOBT), fecal immunochemical test (FIT), and the multitarget DNA test fail to reliably detect adenomas</w:t>
      </w:r>
      <w:r>
        <w:t xml:space="preserve"> </w:t>
      </w:r>
      <w:r>
        <w:t xml:space="preserve">[5, 6]</w:t>
      </w:r>
      <w:r>
        <w:t xml:space="preserve"> </w:t>
      </w:r>
      <w:r>
        <w:t xml:space="preserve">(e.g., sensitivity for nonadvanced adenomas is 7.6% for FIT and 17.2% for the DNA test).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[7–10]</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[7, 8, 10]</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aterials-and-methods"/>
      <w:bookmarkEnd w:id="28"/>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[11]</w:t>
      </w:r>
      <w:r>
        <w:t xml:space="preserve">. The 16S rRNA gene sequences were curated using the mothur software package, as described previously</w:t>
      </w:r>
      <w:r>
        <w:t xml:space="preserve"> </w:t>
      </w:r>
      <w:r>
        <w:t xml:space="preserve">[11, 12]</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[13]</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[14]</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[15]</w:t>
      </w:r>
      <w:r>
        <w:t xml:space="preserve"> </w:t>
      </w:r>
      <w:r>
        <w:t xml:space="preserve">as implemented in the pROC R package</w:t>
      </w:r>
      <w:r>
        <w:t xml:space="preserve"> </w:t>
      </w:r>
      <w:r>
        <w:t xml:space="preserve">[16]</w:t>
      </w:r>
      <w:r>
        <w:t xml:space="preserve">.</w:t>
      </w:r>
    </w:p>
    <w:p>
      <w:pPr>
        <w:pStyle w:val="Heading3"/>
      </w:pPr>
      <w:bookmarkStart w:id="29" w:name="results"/>
      <w:bookmarkEnd w:id="29"/>
      <w:r>
        <w:t xml:space="preserve">Results</w:t>
      </w:r>
    </w:p>
    <w:p>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[17]</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[8–10, 18]</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[10]</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Sinha et al. compared a variety of sampling and storage methods for fecal samples to be used for microbiome analyses</w:t>
      </w:r>
      <w:r>
        <w:t xml:space="preserve"> </w:t>
      </w:r>
      <w:r>
        <w:t xml:space="preserve">[19]</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[20]</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pPr>
        <w:pStyle w:val="Heading3"/>
      </w:pPr>
      <w:bookmarkStart w:id="31" w:name="conclusions"/>
      <w:bookmarkEnd w:id="31"/>
      <w:r>
        <w:t xml:space="preserve">Conclusions</w:t>
      </w:r>
    </w:p>
    <w:p>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Heading3"/>
      </w:pPr>
      <w:bookmarkStart w:id="32" w:name="declarations"/>
      <w:bookmarkEnd w:id="32"/>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r>
        <w:rPr>
          <w:b/>
        </w:rPr>
        <w:t xml:space="preserve">Availability of data and materials:</w:t>
      </w:r>
      <w:r>
        <w:t xml:space="preserve"> </w:t>
      </w:r>
      <w:r>
        <w:t xml:space="preserve">Raw fastq files and a MIMARKS file are available through the NCBI Sequence Read Archive [SRP062005]. The data processing steps for going from the raw sequence data to the final manuscript is available at</w:t>
      </w:r>
      <w:r>
        <w:t xml:space="preserve"> </w:t>
      </w:r>
      <w:hyperlink r:id="rId33">
        <w:r>
          <w:rPr>
            <w:rStyle w:val="Link"/>
          </w:rPr>
          <w:t xml:space="preserve">http://www.github.com/SchlossLab/Baxter_FITs_BMCCancer_2016</w:t>
        </w:r>
      </w:hyperlink>
      <w:r>
        <w:t xml:space="preserve">.</w:t>
      </w:r>
    </w:p>
    <w:p>
      <w:r>
        <w:rPr>
          <w:b/>
        </w:rPr>
        <w:t xml:space="preserve">Competing interests:</w:t>
      </w:r>
      <w:r>
        <w:t xml:space="preserve"> </w:t>
      </w:r>
      <w:r>
        <w:t xml:space="preserve">The authors declare no competing financial interests.</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6.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10.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16.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17.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19.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20.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97d3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BMCCancer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BMCCancer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