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There is a significant demand for colorectal cancer (CRC) screening methods that are noninvasive, inexpensive, and capable of accurately detecting early stage tumors. It has been shown that models based on the gut microbiota can complement the fecal occult blood test and fecal immunochemical test (FIT). However, a barrier to microbiota-based screening is the need to collect and store a patient's stool sample. Using stool samples collected from 404 patients we tested whether the residual buffer containing resuspended feces in FIT cartridges could be used in place of intact stool samples. We found that the bacterial DNA isolated from FIT cartridges largely recapitulated the community structure and membership of patients' stool microbiota and that the abundance of bacteria associated with CRC were conserved. We also found that models for detecting CRC that were generated using bacterial abundances from FIT cartridges were equally predictive as models generated using bacterial abundances from stool. These findings demonstrate the potential for using FIT cartridges in place of stool for microbiota-based screening for CRC or other microbiome-associated diseases. Additionally, FIT cartridges could provide a new source of data for studying the role of the microbiome in CRC and other diseases.</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such as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(6–9)</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(6,7,9)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fecal hemoglobin concentrations. We then compared the bacterial composition of the FIT cartridge to that of DNA isolated directly from a patient's stool sample and assessed the ability of FIT cartridge-derived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 µl of buffer were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using blastn to compare the predominant sequence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(14)</w:t>
      </w:r>
      <w:r>
        <w:t xml:space="preserve"> </w:t>
      </w:r>
      <w:r>
        <w:t xml:space="preserve">as implemented in the pROC R package</w:t>
      </w:r>
      <w:r>
        <w:t xml:space="preserve"> </w:t>
      </w:r>
      <w:r>
        <w:t xml:space="preserve">(15)</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two-sample Kolmogorov-Smirnov test), indicating that community membership was conserved between stool and FIT cartridges. Second, we calculated the similarity in community structure between samples using 1-thetaYC index</w:t>
      </w:r>
      <w:r>
        <w:t xml:space="preserve"> </w:t>
      </w:r>
      <w:r>
        <w:t xml:space="preserve">(16)</w:t>
      </w:r>
      <w:r>
        <w:t xml:space="preserve">. This metric compares the presence or absence of bacterial populations and their relative abundance. The bacterial community structure of stool and FIT samples from the same patient were significantly more similar to each other than to stool or FIT from other patients (Fig. 1B, p&lt;0.001). Finally, we observed that the inter-personal variation in community structure between the stool samples of patients was conserved in samples from FIT cartridges (Mantel test r=0.53, p&lt;0.001). Next, we observed a significant correlation between the abundance of each genus in the paired FIT cartridge and stool samples (Fig. 2A, Spearman rho: 0.699, p&lt;0.001). This suggested that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(7–9,17)</w:t>
      </w:r>
      <w:r>
        <w:t xml:space="preserve">. As expected, the abundance of these species in stool was significantly correlated with their abundance in matched FIT cartridges (all p&lt;0.001)(Fig. 2B). We observed some biases in the abundance of certain taxa. In particular, the genus</w:t>
      </w:r>
      <w:r>
        <w:t xml:space="preserve"> </w:t>
      </w:r>
      <w:r>
        <w:rPr>
          <w:i/>
        </w:rPr>
        <w:t xml:space="preserve">Pantoea</w:t>
      </w:r>
      <w:r>
        <w:t xml:space="preserve"> </w:t>
      </w:r>
      <w:r>
        <w:t xml:space="preserve">was detected in 399 of the 404 FIT cartridges with an average abundance of 2.4%, but was only detected in 34 stool samples. The genus</w:t>
      </w:r>
      <w:r>
        <w:t xml:space="preserve"> </w:t>
      </w:r>
      <w:r>
        <w:rPr>
          <w:i/>
        </w:rPr>
        <w:t xml:space="preserve">Helicobacter</w:t>
      </w:r>
      <w:r>
        <w:t xml:space="preserve"> </w:t>
      </w:r>
      <w:r>
        <w:t xml:space="preserve">was detected in 172 FIT cartridges, but only 10 stool samples. Likewise several genera of</w:t>
      </w:r>
      <w:r>
        <w:t xml:space="preserve"> </w:t>
      </w:r>
      <w:r>
        <w:rPr>
          <w:i/>
        </w:rPr>
        <w:t xml:space="preserve">Actinobacteria</w:t>
      </w:r>
      <w:r>
        <w:t xml:space="preserve"> </w:t>
      </w:r>
      <w:r>
        <w:t xml:space="preserve">were more abundant in stool samples compared to FIT. Notwithstanding these few exceptions, the abundance of the vast majority of genera were well conserved between stool and FIT cartridges. Overall, these findings suggested that that the overall bacterial community structure of the FIT cartridges and stool were similar.</w:t>
      </w:r>
    </w:p>
    <w:p>
      <w:r>
        <w:t xml:space="preserve">We tested whether the bacterial relative abundances we observed from FIT cartridges could be used to differentiate healthy patients from those with carcinomas using random forest models as we did previously using the intact stool samples</w:t>
      </w:r>
      <w:r>
        <w:t xml:space="preserve"> </w:t>
      </w:r>
      <w:r>
        <w:t xml:space="preserve">(9)</w:t>
      </w:r>
      <w:r>
        <w:t xml:space="preserve">. Using DNA from the FIT cartridge, the optimal model utilized 28 OTUs and had an AUC of 0.831 (Fig. 3A). There was not a significant difference in the AUC for this model and the model based on DNA isolated directly from stool, which used 32 OTUs and had an AUC of 0.853 (p=0.41). Furthermore, the probabilities of individuals having lesions was correlated between the models generated using DNA isolated from the FIT cartridges and stool samples (Spearman rho: 0.633, p&lt;XXXXX, Fig. 3B). We also generated random forest models for differentiating healthy patients from those with any type of lesions (i.e. adenoma or carcinoma). There was not a significant difference in AUC between the stool-based model with 41 OTUs (AUC=0.700) and the FIT cartridge-based model with 41 OTUs (AUC=0.686, p=0.65, Fig. 3C). Again, the probabilities of individuals having lesions according to the two models were significantly correlated (Spearman rho: 0.389, p&lt; XXXXX, Fig. 3D). These findings demonstrated that models based on bacterial DNA from FIT cartridges was as predictive as models based on DNA isolated directly from stool.</w:t>
      </w:r>
    </w:p>
    <w:p>
      <w:pPr>
        <w:pStyle w:val="Heading3"/>
      </w:pPr>
      <w:bookmarkStart w:id="26" w:name="discussion"/>
      <w:bookmarkEnd w:id="26"/>
      <w:r>
        <w:t xml:space="preserve">Discussion</w:t>
      </w:r>
    </w:p>
    <w:p>
      <w:r>
        <w:t xml:space="preserve">Bacterial DNA isolated from FIT cartridges recapitulated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bacterial abundances from FIT cartridge-derived and stool-derived DNA were equally predictive for differentiating healthy patients from those with adenomas and carcinomas.</w:t>
      </w:r>
    </w:p>
    <w:p>
      <w:r>
        <w:t xml:space="preserve">The use of FIT cartridges introduced the possibility of sample contamination or bias in the representation of individual OTUs. For example, an OTU associated with</w:t>
      </w:r>
      <w:r>
        <w:t xml:space="preserve"> </w:t>
      </w:r>
      <w:r>
        <w:rPr>
          <w:i/>
        </w:rPr>
        <w:t xml:space="preserve">Pantoea</w:t>
      </w:r>
      <w:r>
        <w:t xml:space="preserve"> </w:t>
      </w:r>
      <w:r>
        <w:t xml:space="preserve">was found in 10% of FIT cartridge samples and only 8% of stool samples. There are several possible explanations for this result. It is possible that because the biomass contained in the FIT cartridges is considerably lower than that in stool, the analysis was more sensitive to contaminants in our reagents or the FIT cartridge</w:t>
      </w:r>
      <w:r>
        <w:t xml:space="preserve"> </w:t>
      </w:r>
      <w:r>
        <w:t xml:space="preserve">(18)</w:t>
      </w:r>
      <w:r>
        <w:t xml:space="preserve">. Alternatively, storage conditions could have played a role in biasing the relative abundances of certain genera. The feces in the FIT cartridges spent more time exposed to ambient temperatures in order to be analyzed for hemoglobin concentration. Therefore it is possible that certain bacterial populations, especially aerobes, were able to grow. Considering</w:t>
      </w:r>
      <w:r>
        <w:t xml:space="preserve"> </w:t>
      </w:r>
      <w:r>
        <w:rPr>
          <w:i/>
        </w:rPr>
        <w:t xml:space="preserve">Pantoea</w:t>
      </w:r>
      <w:r>
        <w:t xml:space="preserve"> </w:t>
      </w:r>
      <w:r>
        <w:t xml:space="preserve">is rarely found in human feces and is more commonly found in soil, plant surfaces, and air we suspect that it was a contaminant. Regardless of the source of this and the other suspicious populations, any biases were limited since the random forest feature selection process did not select these populations and did not effect the ability to detect CRC from FIT cartridge-derived DNA.</w:t>
      </w:r>
    </w:p>
    <w:p>
      <w:r>
        <w:t xml:space="preserve">These findings demonstrate the potential for using DNA extracted from FIT cartridges for microbiota-based screening. This could reduce the need to collect and process separate stool samples, reducing the cost of screening. Using samples collected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colored by phylum. (B) Scatterplots of the relative abundances of 4 species frequently associated with CRC. All correlations were greater than 0.35 (all p&lt;0.001)</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using DNA from FIT cartridges or stool. (B) Probability of having cancer for each patient according to microbiota-based models A. (C) ROC curves for distinguishing patients with adenomas or carcinomas from healthy patients using microbiota-based random forest models using DNA from FIT cartridges or stool. (D) Probability of having a lesion for each patient based on the models from C.</w:t>
      </w:r>
    </w:p>
    <w:p>
      <w:pPr>
        <w:pStyle w:val="Heading3"/>
      </w:pPr>
      <w:bookmarkStart w:id="31" w:name="references"/>
      <w:bookmarkEnd w:id="31"/>
      <w:r>
        <w:t xml:space="preserve">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Zackular JP, Rogers MA, Ruffin MT, Schloss PD. The human gut microbiome as a screening tool for colorectal cancer. Cancer Prevention Research. AACR; 2014;7:1112–21.</w:t>
      </w:r>
      <w:r>
        <w:t xml:space="preserve"> </w:t>
      </w:r>
    </w:p>
    <w:p>
      <w:pPr>
        <w:pStyle w:val="Bibliography"/>
      </w:pPr>
      <w:r>
        <w:t xml:space="preserve">7.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8.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DeLong ER, DeLong DM, Clarke-Pearson DL. Comparing the areas under two or more correlated receiver operating characteristic curves: a nonparametric approach. Biometrics. JSTOR; 1988;837–45.</w:t>
      </w:r>
      <w:r>
        <w:t xml:space="preserve"> </w:t>
      </w:r>
    </w:p>
    <w:p>
      <w:pPr>
        <w:pStyle w:val="Bibliography"/>
      </w:pPr>
      <w:r>
        <w:t xml:space="preserve">15. Robin X, Turck N, Hainard A, Tiberti N, Lisacek F, Sanchez J-C, et al. pROC: an open-source package for R and S+ to analyze and compare ROC curves. BMC bioinformatics. BioMed Central; 2011;12:1.</w:t>
      </w:r>
      <w:r>
        <w:t xml:space="preserve"> </w:t>
      </w:r>
    </w:p>
    <w:p>
      <w:pPr>
        <w:pStyle w:val="Bibliography"/>
      </w:pPr>
      <w:r>
        <w:t xml:space="preserve">16. Yue JC, Clayton MK. A similarity measure based on species proportions. Communications in Statistics-Theory and Methods. Taylor &amp; Francis; 2005;34:2123–31.</w:t>
      </w:r>
      <w:r>
        <w:t xml:space="preserve"> </w:t>
      </w:r>
    </w:p>
    <w:p>
      <w:pPr>
        <w:pStyle w:val="Bibliography"/>
      </w:pPr>
      <w:r>
        <w:t xml:space="preserve">17. Warren RL, Freeman DJ, Pleasance S, Watson P, Moore RA, Cochrane K, et al. Co-occurrence of anaerobic bacteria in colorectal carcinomas. Microbiome. BioMed Central Ltd; 2013;1:16.</w:t>
      </w:r>
      <w:r>
        <w:t xml:space="preserve"> </w:t>
      </w:r>
    </w:p>
    <w:p>
      <w:pPr>
        <w:pStyle w:val="Bibliography"/>
      </w:pPr>
      <w:r>
        <w:t xml:space="preserve">18. Salter SJ, Cox MJ, Turek EM, Calus ST, Cookson WO, Moffatt MF, et al. Reagent and laboratory contamination can critically impact sequence-based microbiome analyses. BMC Biology [Internet]. Springer Science</w:t>
      </w:r>
      <w:r>
        <w:t xml:space="preserve"> </w:t>
      </w:r>
      <w:r>
        <w:t xml:space="preserve">$\mathplus$</w:t>
      </w:r>
      <w:r>
        <w:t xml:space="preserve"> </w:t>
      </w:r>
      <w:r>
        <w:t xml:space="preserve">Business Media; 2014;12. Available from:</w:t>
      </w:r>
      <w:r>
        <w:t xml:space="preserve"> </w:t>
      </w:r>
      <w:hyperlink r:id="rId32">
        <w:r>
          <w:rPr>
            <w:rStyle w:val="Link"/>
          </w:rPr>
          <w:t xml:space="preserve">http://dx.doi.org/10.1186/s12915-014-0087-z</w:t>
        </w:r>
      </w:hyperlink>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08a803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32" Target="http://dx.doi.org/10.1186/s12915-014-0087-z" TargetMode="External"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186/s12915-014-0087-z" TargetMode="External" /><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