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blasting the predominant sequences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R=0.52, p&lt;0.001). These findings suggest that that the overall composition of the microbiota in FIT cartridges matches that of stool.</w:t>
      </w:r>
    </w:p>
    <w:p>
      <w:r>
        <w:t xml:space="preserve">Next, we compared the abundance of each genus in the FIT cartridges and stool (Fig. 2A). There was a strong correlation between the average abundance of each genus in stool and FIT cartridges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w:t>
      </w:r>
      <w:r>
        <w:rPr>
          <w:b/>
        </w:rPr>
        <w:t xml:space="preserve">???</w:t>
      </w:r>
      <w:r>
        <w:t xml:space="preserve">,6,7,9)</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from FIT cartridges could be used to differentiate healthy patients from those with carcinomas using random forest models, as has been demonstrated with stool</w:t>
      </w:r>
      <w:r>
        <w:t xml:space="preserve"> </w:t>
      </w:r>
      <w:r>
        <w:t xml:space="preserve">(9)</w:t>
      </w:r>
      <w:r>
        <w:t xml:space="preserve">. Using DNA from the FIT cartridge, the optimal model utilized 50 OTUs and had an AUC of 0.843. There was no significant difference in the AUC for this model and the model based on DNA isolated directly from stool, which used 67 OTUs and had an AUC of 0.840 (p=0.92). We also generated random forest models for differentiating healthy patients from those with any type of lesions (i.e. adenoma or carcinoma). There was no difference in AUC between the stool-based model with 41 OTUs (AUC=0.700) and the FIT cartridge-based model with 41 OTUs (AUC=0.686,p=0.65). These findings demonstrated that models based on bacterial DNA from FIT cartridges could be as predictive as DNA isolated directly from stool.</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FIT cartridge-derived and stool-derived bacterial DNA were equally predictive for differentiating healthy patients from those with adenomas and carcinomas. Finally, as we have previously seen when using DNA isolated directly from stool, hemoglobin concentrations determined by FIT could be combined with microbiota from FIT cartridges to improve the sensitivity for detecting cancer.</w:t>
      </w:r>
    </w:p>
    <w:p>
      <w:r>
        <w:t xml:space="preserve">The lower biomass of FIT cartridge buffer compared to stool does increase the risk of results being influenced by contaminating bacterial DNA. For example, an OTU associated with Pantoea 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at or near room temperature so that they could be analyzed for hemoglobin concentration. Therefore it is possible that certain bacterial populations (e.g. Pantoea) were able to grow, shifting their abundance relative to stool.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(B) Scatterplots of relative abundances of 4 OTUs frequently associated with CRC.</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from FIT cartridge DNA or stool. (B) Probability of having cancer for each patient according to microbiota-based models from stool or FIT cartridges. (C) ROC curves for distinguishing patients with adenomas or carcinomas from healthy patients using both hemoglobin concentration and microbiota from either stool or FIT cartrdges. (D) Probability of having a lesion for each patient based on the models from C.</w:t>
      </w:r>
    </w:p>
    <w:p>
      <w:pPr>
        <w:pStyle w:val="Heading3"/>
      </w:pPr>
      <w:bookmarkStart w:id="31" w:name="references-25-references"/>
      <w:bookmarkEnd w:id="31"/>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aa0cb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