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126F" w14:textId="77777777" w:rsidR="00F76F0C" w:rsidRPr="00AE089E" w:rsidRDefault="00F76F0C" w:rsidP="00F76F0C">
      <w:pPr>
        <w:rPr>
          <w:b/>
        </w:rPr>
      </w:pPr>
      <w:r w:rsidRPr="00F76F0C">
        <w:t>Thank you</w:t>
      </w:r>
      <w:r w:rsidR="00D77C43">
        <w:t xml:space="preserve"> to the editors and reviewers</w:t>
      </w:r>
      <w:r w:rsidRPr="00F76F0C">
        <w:t xml:space="preserve"> for </w:t>
      </w:r>
      <w:r w:rsidR="00D77C43">
        <w:t xml:space="preserve">your time and consideration evaluating </w:t>
      </w:r>
      <w:r w:rsidRPr="00F76F0C">
        <w:t xml:space="preserve">our </w:t>
      </w:r>
      <w:r w:rsidR="00D77C43">
        <w:t>manuscript, “</w:t>
      </w:r>
      <w:r w:rsidR="00D77C43" w:rsidRPr="00D77C43">
        <w:t>Fecal microbiota signatures are associated with response to Ustekinumab therapy among Crohn's Disease patients</w:t>
      </w:r>
      <w:r w:rsidR="00D77C43">
        <w:t>” (mBio02120-17</w:t>
      </w:r>
      <w:r w:rsidR="00D77C43" w:rsidRPr="00D77C43">
        <w:t>)</w:t>
      </w:r>
      <w:r w:rsidRPr="00F76F0C">
        <w:t xml:space="preserve">. </w:t>
      </w:r>
      <w:r w:rsidR="00D77C43">
        <w:t>The reviewers raised excellent points and have helped make the manuscript stronger. Attached</w:t>
      </w:r>
      <w:r w:rsidRPr="00F76F0C">
        <w:t xml:space="preserve"> you will find </w:t>
      </w:r>
      <w:r w:rsidR="00D77C43">
        <w:t>our responses to the reviewer comments</w:t>
      </w:r>
      <w:r w:rsidRPr="00F76F0C">
        <w:t>. </w:t>
      </w:r>
      <w:r w:rsidRPr="00F76F0C">
        <w:br/>
      </w:r>
      <w:r w:rsidRPr="00F76F0C">
        <w:br/>
      </w:r>
      <w:r w:rsidR="00554064" w:rsidRPr="00F76F0C">
        <w:t>Response to Reviewer Comments.</w:t>
      </w:r>
      <w:r w:rsidRPr="00F76F0C">
        <w:br/>
      </w:r>
      <w:r w:rsidRPr="00F76F0C">
        <w:br/>
      </w:r>
      <w:r w:rsidRPr="00F76F0C">
        <w:rPr>
          <w:b/>
        </w:rPr>
        <w:t>Reviewe</w:t>
      </w:r>
      <w:r>
        <w:rPr>
          <w:b/>
        </w:rPr>
        <w:t>r #1 (Comments for the Author):</w:t>
      </w:r>
      <w:r w:rsidRPr="00F76F0C">
        <w:rPr>
          <w:b/>
        </w:rPr>
        <w:br/>
      </w:r>
      <w:r w:rsidR="00AE089E">
        <w:rPr>
          <w:b/>
        </w:rPr>
        <w:t xml:space="preserve">1. </w:t>
      </w:r>
      <w:r w:rsidRPr="00F76F0C">
        <w:rPr>
          <w:b/>
        </w:rPr>
        <w:t>A table or description of the numbers of fecal samples collected at each time point would be beneficial. Figure 4 shows a significant difference between week 0 and 22 for treated responders (n=18). There are no significant differences in the Placebo groups but the numbers are a lot lower (n=6/8). I assume that these were the maximum possible but it is not obvious. </w:t>
      </w:r>
    </w:p>
    <w:p w14:paraId="67A0D4EF" w14:textId="77777777" w:rsidR="00F76F0C" w:rsidRDefault="00F76F0C" w:rsidP="00F76F0C">
      <w:pPr>
        <w:rPr>
          <w:b/>
        </w:rPr>
      </w:pPr>
    </w:p>
    <w:p w14:paraId="2015BFE6" w14:textId="5642B129" w:rsidR="00F76F0C" w:rsidRDefault="00F76F0C" w:rsidP="00F76F0C">
      <w:r w:rsidRPr="00F76F0C">
        <w:t>These numbers are presented in the methods section</w:t>
      </w:r>
      <w:r w:rsidR="00AE089E">
        <w:t xml:space="preserve"> of the original version</w:t>
      </w:r>
      <w:r w:rsidRPr="00F76F0C">
        <w:t xml:space="preserve"> (lines 327-330) and for the primary and sec</w:t>
      </w:r>
      <w:r>
        <w:t>ondary endpoints in Table 2, but we clarified</w:t>
      </w:r>
      <w:r w:rsidR="00D77C43">
        <w:t xml:space="preserve"> that subjects provided</w:t>
      </w:r>
      <w:r w:rsidRPr="00F76F0C">
        <w:t xml:space="preserve"> a single sample at each time point</w:t>
      </w:r>
      <w:r>
        <w:t xml:space="preserve"> </w:t>
      </w:r>
      <w:r w:rsidR="00AE089E">
        <w:t xml:space="preserve">and moved the sample numbers to the study design section </w:t>
      </w:r>
      <w:r>
        <w:t xml:space="preserve">in the revised </w:t>
      </w:r>
      <w:r w:rsidR="00AE089E">
        <w:t>manuscript</w:t>
      </w:r>
      <w:r>
        <w:t xml:space="preserve"> (lines </w:t>
      </w:r>
      <w:r w:rsidR="008434A4">
        <w:t>307-317</w:t>
      </w:r>
      <w:bookmarkStart w:id="0" w:name="_GoBack"/>
      <w:bookmarkEnd w:id="0"/>
      <w:r>
        <w:t>)</w:t>
      </w:r>
      <w:r w:rsidRPr="00F76F0C">
        <w:t>.</w:t>
      </w:r>
    </w:p>
    <w:p w14:paraId="7D6FA3AE" w14:textId="77777777" w:rsidR="00F76F0C" w:rsidRDefault="00F76F0C" w:rsidP="00F76F0C"/>
    <w:p w14:paraId="3EE75534" w14:textId="77777777" w:rsidR="00F76F0C" w:rsidRPr="00F76F0C" w:rsidRDefault="00F76F0C" w:rsidP="00F76F0C">
      <w:r w:rsidRPr="00F76F0C">
        <w:t>The assumption that this is the maximum possible for Figure 4 is correct, as only subjects who provided a sample at every time point were included for this part of our analysis (lines 190-193). This greatly reduced the number of subjects/samples we could include and resulted in the low statistical power for the Placebo group and change over time.</w:t>
      </w:r>
    </w:p>
    <w:p w14:paraId="4BBC83A2" w14:textId="77777777" w:rsidR="00F76F0C" w:rsidRDefault="00F76F0C" w:rsidP="00F76F0C">
      <w:r w:rsidRPr="00F76F0C">
        <w:br/>
      </w:r>
      <w:r w:rsidRPr="00F76F0C">
        <w:rPr>
          <w:b/>
        </w:rPr>
        <w:t>Reviewer #2 (Comments for the Author):</w:t>
      </w:r>
      <w:r w:rsidRPr="00F76F0C">
        <w:rPr>
          <w:b/>
        </w:rPr>
        <w:br/>
      </w:r>
      <w:r w:rsidR="00AE089E">
        <w:rPr>
          <w:b/>
        </w:rPr>
        <w:t xml:space="preserve">2. </w:t>
      </w:r>
      <w:r w:rsidRPr="00F76F0C">
        <w:rPr>
          <w:b/>
        </w:rPr>
        <w:t>According to Table 1, it appears that the treated vs. placebo cohorts are different regarding sex, corticosteroid use, and even tissue involvement. Are these groups statistically different for these clinical variables? And if so how might that influence the observations reported? </w:t>
      </w:r>
      <w:r w:rsidRPr="00F76F0C">
        <w:br/>
      </w:r>
    </w:p>
    <w:p w14:paraId="1A12AC3B" w14:textId="2A555F6A" w:rsidR="00F76F0C" w:rsidRPr="00F76F0C" w:rsidRDefault="00F76F0C" w:rsidP="00F76F0C">
      <w:r>
        <w:t xml:space="preserve">The placebo and treated groups </w:t>
      </w:r>
      <w:r w:rsidRPr="00F76F0C">
        <w:t xml:space="preserve">were not statistically different </w:t>
      </w:r>
      <w:r>
        <w:t xml:space="preserve">by sex </w:t>
      </w:r>
      <w:r w:rsidRPr="00F76F0C">
        <w:t xml:space="preserve">(p=0.31) </w:t>
      </w:r>
      <w:r>
        <w:t>or c</w:t>
      </w:r>
      <w:r w:rsidRPr="00F76F0C">
        <w:t>orticosteroid use (p=0.06) u</w:t>
      </w:r>
      <w:r>
        <w:t>sing a Wilcoxon rank sum test. Additionally these groups were</w:t>
      </w:r>
      <w:r w:rsidRPr="00F76F0C">
        <w:t xml:space="preserve"> not statistically different </w:t>
      </w:r>
      <w:r>
        <w:t xml:space="preserve">by tissue involvement </w:t>
      </w:r>
      <w:r w:rsidR="00AD7BC9">
        <w:t>following</w:t>
      </w:r>
      <w:r w:rsidRPr="00F76F0C">
        <w:t xml:space="preserve"> a Kruskal-Wallis </w:t>
      </w:r>
      <w:r w:rsidR="00AD7BC9">
        <w:t xml:space="preserve">and </w:t>
      </w:r>
      <w:r w:rsidRPr="00F76F0C">
        <w:t>multiple comparisons test (p&gt;0.05).</w:t>
      </w:r>
      <w:r>
        <w:t xml:space="preserve"> A footnote was added to Table 1 to address this in the revised </w:t>
      </w:r>
      <w:r w:rsidR="00AD7BC9">
        <w:t>manuscript</w:t>
      </w:r>
      <w:r>
        <w:t xml:space="preserve"> (</w:t>
      </w:r>
      <w:r w:rsidR="00346315">
        <w:t>page 17</w:t>
      </w:r>
      <w:r>
        <w:t>).</w:t>
      </w:r>
    </w:p>
    <w:p w14:paraId="596606C2" w14:textId="77777777" w:rsidR="00F76F0C" w:rsidRDefault="00F76F0C" w:rsidP="00F76F0C">
      <w:r w:rsidRPr="00F76F0C">
        <w:br/>
      </w:r>
      <w:r w:rsidR="00AE089E">
        <w:rPr>
          <w:b/>
        </w:rPr>
        <w:t xml:space="preserve">3. </w:t>
      </w:r>
      <w:r w:rsidRPr="00F76F0C">
        <w:rPr>
          <w:b/>
        </w:rPr>
        <w:t>Please include details on inclusion/exclusion criteria for the study.</w:t>
      </w:r>
      <w:r w:rsidRPr="00F76F0C">
        <w:t> </w:t>
      </w:r>
    </w:p>
    <w:p w14:paraId="3A1E2A93" w14:textId="77777777" w:rsidR="00F76F0C" w:rsidRDefault="00F76F0C" w:rsidP="00F76F0C"/>
    <w:p w14:paraId="32542B09" w14:textId="2DCBB08E" w:rsidR="00554064" w:rsidRPr="00554064" w:rsidRDefault="00554064" w:rsidP="00554064">
      <w:r>
        <w:t>The original study publication describes the inclusion/exclusion cr</w:t>
      </w:r>
      <w:r w:rsidR="001B4133">
        <w:t xml:space="preserve">iteria in detail </w:t>
      </w:r>
      <w:r w:rsidR="00B372D3">
        <w:t>with</w:t>
      </w:r>
      <w:r w:rsidR="001B4133">
        <w:t>in</w:t>
      </w:r>
      <w:r w:rsidR="001B4133" w:rsidRPr="00554064">
        <w:t xml:space="preserve"> the </w:t>
      </w:r>
      <w:r w:rsidR="00B372D3">
        <w:t>‘Protocol’ of the supplementary materials.</w:t>
      </w:r>
      <w:r w:rsidR="001B4133">
        <w:t xml:space="preserve"> (Reference #37. </w:t>
      </w:r>
      <w:r w:rsidRPr="00554064">
        <w:t>Sandborn WJ et al. 2012. Ustekinumab induction and maintenance therapy in refractory Crohn’s disease. N Engl J Med 367:1519–28</w:t>
      </w:r>
      <w:r w:rsidR="00B372D3">
        <w:t xml:space="preserve">. </w:t>
      </w:r>
      <w:r w:rsidR="00B372D3" w:rsidRPr="00B372D3">
        <w:t>http://www.nejm.org/doi/suppl/10.1056/NEJMoa1203572/suppl_file/nejmoa1203572_protocol.pdf</w:t>
      </w:r>
      <w:r w:rsidR="001B4133">
        <w:t xml:space="preserve">). We have clarified this in the revised version </w:t>
      </w:r>
      <w:r w:rsidR="00B372D3">
        <w:t xml:space="preserve">and briefly describe the inclusion criteria </w:t>
      </w:r>
      <w:r w:rsidR="001B4133">
        <w:t xml:space="preserve">(lines </w:t>
      </w:r>
      <w:r w:rsidR="008434A4">
        <w:t>303-307</w:t>
      </w:r>
      <w:r w:rsidR="001B4133">
        <w:t>)</w:t>
      </w:r>
      <w:r w:rsidR="00B372D3">
        <w:t>.</w:t>
      </w:r>
    </w:p>
    <w:p w14:paraId="6203C5BE" w14:textId="77777777" w:rsidR="001B4133" w:rsidRDefault="00F76F0C" w:rsidP="00F76F0C">
      <w:r w:rsidRPr="00F76F0C">
        <w:lastRenderedPageBreak/>
        <w:br/>
      </w:r>
      <w:r w:rsidR="00AE089E">
        <w:rPr>
          <w:b/>
        </w:rPr>
        <w:t xml:space="preserve">4. </w:t>
      </w:r>
      <w:r w:rsidRPr="00F76F0C">
        <w:rPr>
          <w:b/>
        </w:rPr>
        <w:t>How were concomitant medications handled? Obviously some were on corticosteroids, but what about antibiotics and other systemic meds? Concomitant inflammatory and/or metabolic disease? (For example psoriasis.) </w:t>
      </w:r>
      <w:r w:rsidRPr="00F76F0C">
        <w:br/>
      </w:r>
    </w:p>
    <w:p w14:paraId="45C6032F" w14:textId="77777777" w:rsidR="001B4133" w:rsidRPr="001B4133" w:rsidRDefault="001B4133" w:rsidP="001B4133">
      <w:r w:rsidRPr="001B4133">
        <w:t>See above response – the ‘Methods/Patients’ section</w:t>
      </w:r>
      <w:r>
        <w:t xml:space="preserve"> of the original study publication</w:t>
      </w:r>
      <w:r w:rsidRPr="001B4133">
        <w:t xml:space="preserve"> describes how concomitant medications were handled. As for concomitant inflammatory and metabolic diseases/conditions, patients were not excluded based on these.</w:t>
      </w:r>
    </w:p>
    <w:p w14:paraId="5874F0E6" w14:textId="77777777" w:rsidR="001B4133" w:rsidRDefault="00F76F0C" w:rsidP="00F76F0C">
      <w:r w:rsidRPr="00F76F0C">
        <w:br/>
      </w:r>
      <w:r w:rsidR="00AE089E">
        <w:rPr>
          <w:b/>
        </w:rPr>
        <w:t xml:space="preserve">5. </w:t>
      </w:r>
      <w:r w:rsidRPr="00F76F0C">
        <w:rPr>
          <w:b/>
        </w:rPr>
        <w:t>Did subjects self-collect stool? And if so how was it ensured the sample was not degraded prior to extraction and sequencing?</w:t>
      </w:r>
      <w:r w:rsidRPr="00F76F0C">
        <w:t> </w:t>
      </w:r>
      <w:r w:rsidRPr="00F76F0C">
        <w:br/>
      </w:r>
    </w:p>
    <w:p w14:paraId="194A84B1" w14:textId="730BE831" w:rsidR="001B4133" w:rsidRPr="001B4133" w:rsidRDefault="008434A4" w:rsidP="001B4133">
      <w:r>
        <w:t>S</w:t>
      </w:r>
      <w:r w:rsidRPr="008434A4">
        <w:t>tool samples were collected by the patients at home, kept ref</w:t>
      </w:r>
      <w:r>
        <w:t xml:space="preserve">rigerated for no more than 24h, and </w:t>
      </w:r>
      <w:r w:rsidRPr="008434A4">
        <w:t>then brought to the</w:t>
      </w:r>
      <w:r>
        <w:t xml:space="preserve"> clinical sites and frozen</w:t>
      </w:r>
      <w:r w:rsidR="001B4133" w:rsidRPr="001B4133">
        <w:t>.</w:t>
      </w:r>
      <w:r w:rsidR="001B4133">
        <w:t xml:space="preserve"> We have clarified this in the revised manuscript (lines </w:t>
      </w:r>
      <w:r>
        <w:t>317-319</w:t>
      </w:r>
      <w:r w:rsidR="001B4133">
        <w:t>)</w:t>
      </w:r>
    </w:p>
    <w:p w14:paraId="5AD14BAC" w14:textId="77777777" w:rsidR="00554064" w:rsidRDefault="00F76F0C" w:rsidP="00F76F0C">
      <w:pPr>
        <w:rPr>
          <w:b/>
        </w:rPr>
      </w:pPr>
      <w:r w:rsidRPr="00F76F0C">
        <w:br/>
      </w:r>
      <w:r w:rsidR="00AE089E">
        <w:rPr>
          <w:b/>
        </w:rPr>
        <w:t xml:space="preserve">6. </w:t>
      </w:r>
      <w:r w:rsidRPr="00F76F0C">
        <w:rPr>
          <w:b/>
        </w:rPr>
        <w:t>It is surprising that so many of the Placebo subjects experienced response or remission. Do those achieving response/remission in treated and placebo groups have similar characteristics? </w:t>
      </w:r>
    </w:p>
    <w:p w14:paraId="2A50E95E" w14:textId="77777777" w:rsidR="00554064" w:rsidRDefault="00554064" w:rsidP="00F76F0C">
      <w:pPr>
        <w:rPr>
          <w:b/>
        </w:rPr>
      </w:pPr>
    </w:p>
    <w:p w14:paraId="7D15737E" w14:textId="77777777" w:rsidR="001B4133" w:rsidRDefault="00554064" w:rsidP="00554064">
      <w:r w:rsidRPr="00554064">
        <w:t xml:space="preserve">It is surprising, but our </w:t>
      </w:r>
      <w:r w:rsidR="001B4133">
        <w:t>data</w:t>
      </w:r>
      <w:r w:rsidRPr="00554064">
        <w:t xml:space="preserve"> </w:t>
      </w:r>
      <w:r w:rsidR="00AE089E">
        <w:t>reflect</w:t>
      </w:r>
      <w:r w:rsidRPr="00554064">
        <w:t xml:space="preserve"> </w:t>
      </w:r>
      <w:r w:rsidR="001B4133">
        <w:t>observed</w:t>
      </w:r>
      <w:r w:rsidRPr="00554064">
        <w:t xml:space="preserve"> placebo effect</w:t>
      </w:r>
      <w:r w:rsidR="001B4133">
        <w:t>s</w:t>
      </w:r>
      <w:r w:rsidR="00AD7BC9">
        <w:t xml:space="preserve">, as described in </w:t>
      </w:r>
      <w:r w:rsidRPr="00554064">
        <w:t>"Placebo effects and their determinants in gastrointestinal disorders</w:t>
      </w:r>
      <w:r w:rsidR="00AD7BC9">
        <w:t>.</w:t>
      </w:r>
      <w:r w:rsidRPr="00554064">
        <w:t>” Nature Reviews Gastroenterology</w:t>
      </w:r>
      <w:r w:rsidR="001B4133">
        <w:t xml:space="preserve"> &amp; Hepatology</w:t>
      </w:r>
      <w:r w:rsidR="00AD7BC9">
        <w:t xml:space="preserve">. </w:t>
      </w:r>
      <w:r w:rsidR="001B4133">
        <w:t xml:space="preserve">12, 472–485 (2015). </w:t>
      </w:r>
      <w:r w:rsidRPr="00554064">
        <w:t xml:space="preserve">doi:10.1038/nrgastro.2015.117. </w:t>
      </w:r>
    </w:p>
    <w:p w14:paraId="3AFC9964" w14:textId="77777777" w:rsidR="00AD7BC9" w:rsidRDefault="00AD7BC9" w:rsidP="00554064"/>
    <w:p w14:paraId="07956B78" w14:textId="77777777" w:rsidR="00554064" w:rsidRPr="00554064" w:rsidRDefault="00554064" w:rsidP="001B4133">
      <w:pPr>
        <w:ind w:left="720"/>
      </w:pPr>
      <w:r w:rsidRPr="00554064">
        <w:t>"According to the listed meta-analyses in Table 1, the pooled placebo response ranges between 20–35% in IBD, and 20–40% in IBS, functional dyspepsia, gastric and duodenal ulcer and GERD, with marginal differences between functional and somatic disorders (see Table 1). “ </w:t>
      </w:r>
      <w:hyperlink r:id="rId6" w:history="1">
        <w:r w:rsidRPr="00554064">
          <w:rPr>
            <w:rStyle w:val="Hyperlink"/>
          </w:rPr>
          <w:t>https://www.nature.com/articles/nrgastro.2015.117/tables/1</w:t>
        </w:r>
      </w:hyperlink>
    </w:p>
    <w:p w14:paraId="0A48A1C7" w14:textId="77777777" w:rsidR="00554064" w:rsidRPr="00554064" w:rsidRDefault="00554064" w:rsidP="00554064"/>
    <w:p w14:paraId="1F731833" w14:textId="77777777" w:rsidR="00554064" w:rsidRPr="00554064" w:rsidRDefault="00554064" w:rsidP="00554064">
      <w:r w:rsidRPr="00554064">
        <w:t>Additionally </w:t>
      </w:r>
      <w:r w:rsidR="001B4133">
        <w:t>the original study publication (</w:t>
      </w:r>
      <w:r w:rsidRPr="00554064">
        <w:t xml:space="preserve">reference #37) shows a </w:t>
      </w:r>
      <w:r w:rsidR="001B4133" w:rsidRPr="00554064">
        <w:t>statistical</w:t>
      </w:r>
      <w:r w:rsidRPr="00554064">
        <w:t xml:space="preserve"> difference in the treated </w:t>
      </w:r>
      <w:r w:rsidR="00AD7BC9" w:rsidRPr="00554064">
        <w:t>vs.</w:t>
      </w:r>
      <w:r w:rsidRPr="00554064">
        <w:t xml:space="preserve"> untreated populations in terms of response/remission. As a whole our </w:t>
      </w:r>
      <w:r w:rsidR="00AD7BC9" w:rsidRPr="00554064">
        <w:t xml:space="preserve">treated vs. untreated </w:t>
      </w:r>
      <w:r w:rsidRPr="00554064">
        <w:t>groups were similar at the outset, with respect to the microbiome, and we did not observe meaningful similarities between treatment and pl</w:t>
      </w:r>
      <w:r w:rsidR="001B4133">
        <w:t xml:space="preserve">acebo groups that correlated to </w:t>
      </w:r>
      <w:r w:rsidRPr="00554064">
        <w:t>responding/remitting.</w:t>
      </w:r>
    </w:p>
    <w:p w14:paraId="1D742C41" w14:textId="77777777" w:rsidR="00554064" w:rsidRDefault="00F76F0C" w:rsidP="00F76F0C">
      <w:r w:rsidRPr="00F76F0C">
        <w:br/>
      </w:r>
      <w:r w:rsidR="00AE089E">
        <w:rPr>
          <w:b/>
        </w:rPr>
        <w:t xml:space="preserve">7. </w:t>
      </w:r>
      <w:r w:rsidRPr="00F76F0C">
        <w:rPr>
          <w:b/>
        </w:rPr>
        <w:t>This raises the point that it would be useful to generate a simple figure or table that summarizes the results. It is difficult to keep track of the comparisons made and the commonalities revealed (for example, Faecalibacterium and Escherichia/Shigella </w:t>
      </w:r>
      <w:r w:rsidRPr="00F76F0C">
        <w:br/>
      </w:r>
    </w:p>
    <w:p w14:paraId="0CD27748" w14:textId="1F067F9E" w:rsidR="00554064" w:rsidRDefault="001B4133" w:rsidP="00F76F0C">
      <w:r>
        <w:t xml:space="preserve">This point is well taken. A </w:t>
      </w:r>
      <w:r w:rsidR="00554064">
        <w:t xml:space="preserve">table was </w:t>
      </w:r>
      <w:r>
        <w:t>added</w:t>
      </w:r>
      <w:r w:rsidR="00554064">
        <w:t xml:space="preserve"> (Table 3</w:t>
      </w:r>
      <w:r w:rsidR="00346315">
        <w:t>, page 19</w:t>
      </w:r>
      <w:r w:rsidR="00554064">
        <w:t xml:space="preserve">) and referred to in the discussion section of the revised </w:t>
      </w:r>
      <w:r>
        <w:t>manuscripts</w:t>
      </w:r>
      <w:r w:rsidR="00554064">
        <w:t xml:space="preserve"> (line </w:t>
      </w:r>
      <w:r w:rsidR="00346315">
        <w:t>237</w:t>
      </w:r>
      <w:r w:rsidR="00554064">
        <w:t>).</w:t>
      </w:r>
    </w:p>
    <w:p w14:paraId="0136CB71" w14:textId="4455E9C8" w:rsidR="00180F6B" w:rsidRPr="00F76F0C" w:rsidRDefault="00F76F0C" w:rsidP="00F76F0C">
      <w:r w:rsidRPr="00F76F0C">
        <w:br/>
      </w:r>
      <w:r w:rsidR="00AE089E">
        <w:rPr>
          <w:b/>
        </w:rPr>
        <w:t xml:space="preserve">8. </w:t>
      </w:r>
      <w:r w:rsidRPr="00F76F0C">
        <w:rPr>
          <w:b/>
        </w:rPr>
        <w:t>It is stated that CDAI weighs stool frequency, abdominal pain, general well being, weight change, hematocrit, opioid usage among others to determine the severity score. How did the individual characteristics of the CDAI score correlate with microbiome? For example can you split out what was the most dominant factor contributing to this score in each subject and further stratify the cohort based on this? </w:t>
      </w:r>
      <w:r w:rsidRPr="00F76F0C">
        <w:br/>
      </w:r>
      <w:r w:rsidRPr="00F76F0C">
        <w:br/>
      </w:r>
      <w:r w:rsidR="008B17A6">
        <w:t xml:space="preserve">We saw no significant </w:t>
      </w:r>
      <w:r w:rsidR="00AD7BC9">
        <w:t>associations</w:t>
      </w:r>
      <w:r w:rsidR="008B17A6">
        <w:t xml:space="preserve"> between </w:t>
      </w:r>
      <w:r w:rsidR="00AD7BC9">
        <w:t xml:space="preserve">quantitative CDAI sub scores and the microbiome, with the exception of loose stool frequency. Qualitative sub scores were not considered due to their subjectivity. </w:t>
      </w:r>
      <w:r w:rsidR="00554064" w:rsidRPr="00554064">
        <w:t xml:space="preserve">This was addressed in the Discussion section of the </w:t>
      </w:r>
      <w:r w:rsidR="001B4133">
        <w:t>original version</w:t>
      </w:r>
      <w:r w:rsidR="00554064" w:rsidRPr="00554064">
        <w:t xml:space="preserve"> (lines 264-268), but </w:t>
      </w:r>
      <w:r w:rsidR="00AD7BC9">
        <w:t>is</w:t>
      </w:r>
      <w:r w:rsidR="00554064" w:rsidRPr="00554064">
        <w:t xml:space="preserve"> </w:t>
      </w:r>
      <w:r w:rsidR="001B4133">
        <w:t xml:space="preserve">clarified in the revised manuscript (lines </w:t>
      </w:r>
      <w:r w:rsidR="005946B5">
        <w:t>266-270</w:t>
      </w:r>
      <w:r w:rsidR="001B4133">
        <w:t>)</w:t>
      </w:r>
      <w:r w:rsidR="00554064" w:rsidRPr="00554064">
        <w:t>, </w:t>
      </w:r>
    </w:p>
    <w:sectPr w:rsidR="00180F6B" w:rsidRPr="00F76F0C" w:rsidSect="00180F6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C4D5F"/>
    <w:multiLevelType w:val="hybridMultilevel"/>
    <w:tmpl w:val="E0D8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718E"/>
    <w:multiLevelType w:val="multilevel"/>
    <w:tmpl w:val="24B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D30488"/>
    <w:multiLevelType w:val="multilevel"/>
    <w:tmpl w:val="0A9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342751"/>
    <w:multiLevelType w:val="multilevel"/>
    <w:tmpl w:val="FB2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19430A"/>
    <w:multiLevelType w:val="multilevel"/>
    <w:tmpl w:val="224C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0C"/>
    <w:rsid w:val="00180F6B"/>
    <w:rsid w:val="001B4133"/>
    <w:rsid w:val="00346315"/>
    <w:rsid w:val="00554064"/>
    <w:rsid w:val="005946B5"/>
    <w:rsid w:val="007F3EBE"/>
    <w:rsid w:val="008434A4"/>
    <w:rsid w:val="008B17A6"/>
    <w:rsid w:val="00AD7BC9"/>
    <w:rsid w:val="00AE089E"/>
    <w:rsid w:val="00B372D3"/>
    <w:rsid w:val="00D77C43"/>
    <w:rsid w:val="00F76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A02F0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F0C"/>
    <w:rPr>
      <w:color w:val="0000FF"/>
      <w:u w:val="single"/>
    </w:rPr>
  </w:style>
  <w:style w:type="character" w:customStyle="1" w:styleId="apple-converted-space">
    <w:name w:val="apple-converted-space"/>
    <w:basedOn w:val="DefaultParagraphFont"/>
    <w:rsid w:val="00F76F0C"/>
  </w:style>
  <w:style w:type="paragraph" w:styleId="ListParagraph">
    <w:name w:val="List Paragraph"/>
    <w:basedOn w:val="Normal"/>
    <w:uiPriority w:val="34"/>
    <w:qFormat/>
    <w:rsid w:val="00F76F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F0C"/>
    <w:rPr>
      <w:color w:val="0000FF"/>
      <w:u w:val="single"/>
    </w:rPr>
  </w:style>
  <w:style w:type="character" w:customStyle="1" w:styleId="apple-converted-space">
    <w:name w:val="apple-converted-space"/>
    <w:basedOn w:val="DefaultParagraphFont"/>
    <w:rsid w:val="00F76F0C"/>
  </w:style>
  <w:style w:type="paragraph" w:styleId="ListParagraph">
    <w:name w:val="List Paragraph"/>
    <w:basedOn w:val="Normal"/>
    <w:uiPriority w:val="34"/>
    <w:qFormat/>
    <w:rsid w:val="00F76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5579">
      <w:bodyDiv w:val="1"/>
      <w:marLeft w:val="0"/>
      <w:marRight w:val="0"/>
      <w:marTop w:val="0"/>
      <w:marBottom w:val="0"/>
      <w:divBdr>
        <w:top w:val="none" w:sz="0" w:space="0" w:color="auto"/>
        <w:left w:val="none" w:sz="0" w:space="0" w:color="auto"/>
        <w:bottom w:val="none" w:sz="0" w:space="0" w:color="auto"/>
        <w:right w:val="none" w:sz="0" w:space="0" w:color="auto"/>
      </w:divBdr>
      <w:divsChild>
        <w:div w:id="596257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178794">
              <w:marLeft w:val="0"/>
              <w:marRight w:val="0"/>
              <w:marTop w:val="0"/>
              <w:marBottom w:val="0"/>
              <w:divBdr>
                <w:top w:val="none" w:sz="0" w:space="0" w:color="auto"/>
                <w:left w:val="none" w:sz="0" w:space="0" w:color="auto"/>
                <w:bottom w:val="none" w:sz="0" w:space="0" w:color="auto"/>
                <w:right w:val="none" w:sz="0" w:space="0" w:color="auto"/>
              </w:divBdr>
              <w:divsChild>
                <w:div w:id="7793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864">
      <w:bodyDiv w:val="1"/>
      <w:marLeft w:val="0"/>
      <w:marRight w:val="0"/>
      <w:marTop w:val="0"/>
      <w:marBottom w:val="0"/>
      <w:divBdr>
        <w:top w:val="none" w:sz="0" w:space="0" w:color="auto"/>
        <w:left w:val="none" w:sz="0" w:space="0" w:color="auto"/>
        <w:bottom w:val="none" w:sz="0" w:space="0" w:color="auto"/>
        <w:right w:val="none" w:sz="0" w:space="0" w:color="auto"/>
      </w:divBdr>
    </w:div>
    <w:div w:id="235942036">
      <w:bodyDiv w:val="1"/>
      <w:marLeft w:val="0"/>
      <w:marRight w:val="0"/>
      <w:marTop w:val="0"/>
      <w:marBottom w:val="0"/>
      <w:divBdr>
        <w:top w:val="none" w:sz="0" w:space="0" w:color="auto"/>
        <w:left w:val="none" w:sz="0" w:space="0" w:color="auto"/>
        <w:bottom w:val="none" w:sz="0" w:space="0" w:color="auto"/>
        <w:right w:val="none" w:sz="0" w:space="0" w:color="auto"/>
      </w:divBdr>
      <w:divsChild>
        <w:div w:id="546911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0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2130">
      <w:bodyDiv w:val="1"/>
      <w:marLeft w:val="0"/>
      <w:marRight w:val="0"/>
      <w:marTop w:val="0"/>
      <w:marBottom w:val="0"/>
      <w:divBdr>
        <w:top w:val="none" w:sz="0" w:space="0" w:color="auto"/>
        <w:left w:val="none" w:sz="0" w:space="0" w:color="auto"/>
        <w:bottom w:val="none" w:sz="0" w:space="0" w:color="auto"/>
        <w:right w:val="none" w:sz="0" w:space="0" w:color="auto"/>
      </w:divBdr>
    </w:div>
    <w:div w:id="1127509297">
      <w:bodyDiv w:val="1"/>
      <w:marLeft w:val="0"/>
      <w:marRight w:val="0"/>
      <w:marTop w:val="0"/>
      <w:marBottom w:val="0"/>
      <w:divBdr>
        <w:top w:val="none" w:sz="0" w:space="0" w:color="auto"/>
        <w:left w:val="none" w:sz="0" w:space="0" w:color="auto"/>
        <w:bottom w:val="none" w:sz="0" w:space="0" w:color="auto"/>
        <w:right w:val="none" w:sz="0" w:space="0" w:color="auto"/>
      </w:divBdr>
      <w:divsChild>
        <w:div w:id="1492217539">
          <w:marLeft w:val="0"/>
          <w:marRight w:val="0"/>
          <w:marTop w:val="0"/>
          <w:marBottom w:val="0"/>
          <w:divBdr>
            <w:top w:val="none" w:sz="0" w:space="0" w:color="auto"/>
            <w:left w:val="none" w:sz="0" w:space="0" w:color="auto"/>
            <w:bottom w:val="none" w:sz="0" w:space="0" w:color="auto"/>
            <w:right w:val="none" w:sz="0" w:space="0" w:color="auto"/>
          </w:divBdr>
        </w:div>
        <w:div w:id="1595357070">
          <w:marLeft w:val="0"/>
          <w:marRight w:val="0"/>
          <w:marTop w:val="0"/>
          <w:marBottom w:val="0"/>
          <w:divBdr>
            <w:top w:val="none" w:sz="0" w:space="0" w:color="auto"/>
            <w:left w:val="none" w:sz="0" w:space="0" w:color="auto"/>
            <w:bottom w:val="none" w:sz="0" w:space="0" w:color="auto"/>
            <w:right w:val="none" w:sz="0" w:space="0" w:color="auto"/>
          </w:divBdr>
        </w:div>
        <w:div w:id="1651518619">
          <w:marLeft w:val="0"/>
          <w:marRight w:val="0"/>
          <w:marTop w:val="0"/>
          <w:marBottom w:val="0"/>
          <w:divBdr>
            <w:top w:val="none" w:sz="0" w:space="0" w:color="auto"/>
            <w:left w:val="none" w:sz="0" w:space="0" w:color="auto"/>
            <w:bottom w:val="none" w:sz="0" w:space="0" w:color="auto"/>
            <w:right w:val="none" w:sz="0" w:space="0" w:color="auto"/>
          </w:divBdr>
        </w:div>
      </w:divsChild>
    </w:div>
    <w:div w:id="1245457354">
      <w:bodyDiv w:val="1"/>
      <w:marLeft w:val="0"/>
      <w:marRight w:val="0"/>
      <w:marTop w:val="0"/>
      <w:marBottom w:val="0"/>
      <w:divBdr>
        <w:top w:val="none" w:sz="0" w:space="0" w:color="auto"/>
        <w:left w:val="none" w:sz="0" w:space="0" w:color="auto"/>
        <w:bottom w:val="none" w:sz="0" w:space="0" w:color="auto"/>
        <w:right w:val="none" w:sz="0" w:space="0" w:color="auto"/>
      </w:divBdr>
      <w:divsChild>
        <w:div w:id="1588660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4239540">
              <w:marLeft w:val="0"/>
              <w:marRight w:val="0"/>
              <w:marTop w:val="0"/>
              <w:marBottom w:val="0"/>
              <w:divBdr>
                <w:top w:val="none" w:sz="0" w:space="0" w:color="auto"/>
                <w:left w:val="none" w:sz="0" w:space="0" w:color="auto"/>
                <w:bottom w:val="none" w:sz="0" w:space="0" w:color="auto"/>
                <w:right w:val="none" w:sz="0" w:space="0" w:color="auto"/>
              </w:divBdr>
              <w:divsChild>
                <w:div w:id="19476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7497">
      <w:bodyDiv w:val="1"/>
      <w:marLeft w:val="0"/>
      <w:marRight w:val="0"/>
      <w:marTop w:val="0"/>
      <w:marBottom w:val="0"/>
      <w:divBdr>
        <w:top w:val="none" w:sz="0" w:space="0" w:color="auto"/>
        <w:left w:val="none" w:sz="0" w:space="0" w:color="auto"/>
        <w:bottom w:val="none" w:sz="0" w:space="0" w:color="auto"/>
        <w:right w:val="none" w:sz="0" w:space="0" w:color="auto"/>
      </w:divBdr>
    </w:div>
    <w:div w:id="1475289824">
      <w:bodyDiv w:val="1"/>
      <w:marLeft w:val="0"/>
      <w:marRight w:val="0"/>
      <w:marTop w:val="0"/>
      <w:marBottom w:val="0"/>
      <w:divBdr>
        <w:top w:val="none" w:sz="0" w:space="0" w:color="auto"/>
        <w:left w:val="none" w:sz="0" w:space="0" w:color="auto"/>
        <w:bottom w:val="none" w:sz="0" w:space="0" w:color="auto"/>
        <w:right w:val="none" w:sz="0" w:space="0" w:color="auto"/>
      </w:divBdr>
      <w:divsChild>
        <w:div w:id="1390761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3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3266">
      <w:bodyDiv w:val="1"/>
      <w:marLeft w:val="0"/>
      <w:marRight w:val="0"/>
      <w:marTop w:val="0"/>
      <w:marBottom w:val="0"/>
      <w:divBdr>
        <w:top w:val="none" w:sz="0" w:space="0" w:color="auto"/>
        <w:left w:val="none" w:sz="0" w:space="0" w:color="auto"/>
        <w:bottom w:val="none" w:sz="0" w:space="0" w:color="auto"/>
        <w:right w:val="none" w:sz="0" w:space="0" w:color="auto"/>
      </w:divBdr>
    </w:div>
    <w:div w:id="1681349198">
      <w:bodyDiv w:val="1"/>
      <w:marLeft w:val="0"/>
      <w:marRight w:val="0"/>
      <w:marTop w:val="0"/>
      <w:marBottom w:val="0"/>
      <w:divBdr>
        <w:top w:val="none" w:sz="0" w:space="0" w:color="auto"/>
        <w:left w:val="none" w:sz="0" w:space="0" w:color="auto"/>
        <w:bottom w:val="none" w:sz="0" w:space="0" w:color="auto"/>
        <w:right w:val="none" w:sz="0" w:space="0" w:color="auto"/>
      </w:divBdr>
    </w:div>
    <w:div w:id="1706102318">
      <w:bodyDiv w:val="1"/>
      <w:marLeft w:val="0"/>
      <w:marRight w:val="0"/>
      <w:marTop w:val="0"/>
      <w:marBottom w:val="0"/>
      <w:divBdr>
        <w:top w:val="none" w:sz="0" w:space="0" w:color="auto"/>
        <w:left w:val="none" w:sz="0" w:space="0" w:color="auto"/>
        <w:bottom w:val="none" w:sz="0" w:space="0" w:color="auto"/>
        <w:right w:val="none" w:sz="0" w:space="0" w:color="auto"/>
      </w:divBdr>
      <w:divsChild>
        <w:div w:id="685404968">
          <w:marLeft w:val="0"/>
          <w:marRight w:val="0"/>
          <w:marTop w:val="0"/>
          <w:marBottom w:val="0"/>
          <w:divBdr>
            <w:top w:val="none" w:sz="0" w:space="0" w:color="auto"/>
            <w:left w:val="none" w:sz="0" w:space="0" w:color="auto"/>
            <w:bottom w:val="none" w:sz="0" w:space="0" w:color="auto"/>
            <w:right w:val="none" w:sz="0" w:space="0" w:color="auto"/>
          </w:divBdr>
        </w:div>
        <w:div w:id="1816410354">
          <w:marLeft w:val="0"/>
          <w:marRight w:val="0"/>
          <w:marTop w:val="0"/>
          <w:marBottom w:val="0"/>
          <w:divBdr>
            <w:top w:val="none" w:sz="0" w:space="0" w:color="auto"/>
            <w:left w:val="none" w:sz="0" w:space="0" w:color="auto"/>
            <w:bottom w:val="none" w:sz="0" w:space="0" w:color="auto"/>
            <w:right w:val="none" w:sz="0" w:space="0" w:color="auto"/>
          </w:divBdr>
        </w:div>
        <w:div w:id="1049568404">
          <w:marLeft w:val="0"/>
          <w:marRight w:val="0"/>
          <w:marTop w:val="0"/>
          <w:marBottom w:val="0"/>
          <w:divBdr>
            <w:top w:val="none" w:sz="0" w:space="0" w:color="auto"/>
            <w:left w:val="none" w:sz="0" w:space="0" w:color="auto"/>
            <w:bottom w:val="none" w:sz="0" w:space="0" w:color="auto"/>
            <w:right w:val="none" w:sz="0" w:space="0" w:color="auto"/>
          </w:divBdr>
        </w:div>
        <w:div w:id="1272201171">
          <w:marLeft w:val="0"/>
          <w:marRight w:val="0"/>
          <w:marTop w:val="0"/>
          <w:marBottom w:val="0"/>
          <w:divBdr>
            <w:top w:val="none" w:sz="0" w:space="0" w:color="auto"/>
            <w:left w:val="none" w:sz="0" w:space="0" w:color="auto"/>
            <w:bottom w:val="none" w:sz="0" w:space="0" w:color="auto"/>
            <w:right w:val="none" w:sz="0" w:space="0" w:color="auto"/>
          </w:divBdr>
        </w:div>
        <w:div w:id="798574930">
          <w:marLeft w:val="0"/>
          <w:marRight w:val="0"/>
          <w:marTop w:val="0"/>
          <w:marBottom w:val="0"/>
          <w:divBdr>
            <w:top w:val="none" w:sz="0" w:space="0" w:color="auto"/>
            <w:left w:val="none" w:sz="0" w:space="0" w:color="auto"/>
            <w:bottom w:val="none" w:sz="0" w:space="0" w:color="auto"/>
            <w:right w:val="none" w:sz="0" w:space="0" w:color="auto"/>
          </w:divBdr>
        </w:div>
        <w:div w:id="1562016798">
          <w:marLeft w:val="0"/>
          <w:marRight w:val="0"/>
          <w:marTop w:val="0"/>
          <w:marBottom w:val="0"/>
          <w:divBdr>
            <w:top w:val="none" w:sz="0" w:space="0" w:color="auto"/>
            <w:left w:val="none" w:sz="0" w:space="0" w:color="auto"/>
            <w:bottom w:val="none" w:sz="0" w:space="0" w:color="auto"/>
            <w:right w:val="none" w:sz="0" w:space="0" w:color="auto"/>
          </w:divBdr>
        </w:div>
        <w:div w:id="2024429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3646526">
              <w:marLeft w:val="0"/>
              <w:marRight w:val="0"/>
              <w:marTop w:val="0"/>
              <w:marBottom w:val="0"/>
              <w:divBdr>
                <w:top w:val="none" w:sz="0" w:space="0" w:color="auto"/>
                <w:left w:val="none" w:sz="0" w:space="0" w:color="auto"/>
                <w:bottom w:val="none" w:sz="0" w:space="0" w:color="auto"/>
                <w:right w:val="none" w:sz="0" w:space="0" w:color="auto"/>
              </w:divBdr>
            </w:div>
          </w:divsChild>
        </w:div>
        <w:div w:id="96096233">
          <w:marLeft w:val="0"/>
          <w:marRight w:val="0"/>
          <w:marTop w:val="0"/>
          <w:marBottom w:val="0"/>
          <w:divBdr>
            <w:top w:val="none" w:sz="0" w:space="0" w:color="auto"/>
            <w:left w:val="none" w:sz="0" w:space="0" w:color="auto"/>
            <w:bottom w:val="none" w:sz="0" w:space="0" w:color="auto"/>
            <w:right w:val="none" w:sz="0" w:space="0" w:color="auto"/>
          </w:divBdr>
        </w:div>
        <w:div w:id="857885156">
          <w:marLeft w:val="0"/>
          <w:marRight w:val="0"/>
          <w:marTop w:val="0"/>
          <w:marBottom w:val="0"/>
          <w:divBdr>
            <w:top w:val="none" w:sz="0" w:space="0" w:color="auto"/>
            <w:left w:val="none" w:sz="0" w:space="0" w:color="auto"/>
            <w:bottom w:val="none" w:sz="0" w:space="0" w:color="auto"/>
            <w:right w:val="none" w:sz="0" w:space="0" w:color="auto"/>
          </w:divBdr>
          <w:divsChild>
            <w:div w:id="972246576">
              <w:marLeft w:val="0"/>
              <w:marRight w:val="0"/>
              <w:marTop w:val="0"/>
              <w:marBottom w:val="0"/>
              <w:divBdr>
                <w:top w:val="none" w:sz="0" w:space="0" w:color="auto"/>
                <w:left w:val="none" w:sz="0" w:space="0" w:color="auto"/>
                <w:bottom w:val="none" w:sz="0" w:space="0" w:color="auto"/>
                <w:right w:val="none" w:sz="0" w:space="0" w:color="auto"/>
              </w:divBdr>
              <w:divsChild>
                <w:div w:id="1316299868">
                  <w:marLeft w:val="0"/>
                  <w:marRight w:val="0"/>
                  <w:marTop w:val="0"/>
                  <w:marBottom w:val="0"/>
                  <w:divBdr>
                    <w:top w:val="none" w:sz="0" w:space="0" w:color="auto"/>
                    <w:left w:val="none" w:sz="0" w:space="0" w:color="auto"/>
                    <w:bottom w:val="none" w:sz="0" w:space="0" w:color="auto"/>
                    <w:right w:val="none" w:sz="0" w:space="0" w:color="auto"/>
                  </w:divBdr>
                </w:div>
                <w:div w:id="756439852">
                  <w:marLeft w:val="0"/>
                  <w:marRight w:val="0"/>
                  <w:marTop w:val="0"/>
                  <w:marBottom w:val="0"/>
                  <w:divBdr>
                    <w:top w:val="none" w:sz="0" w:space="0" w:color="auto"/>
                    <w:left w:val="none" w:sz="0" w:space="0" w:color="auto"/>
                    <w:bottom w:val="none" w:sz="0" w:space="0" w:color="auto"/>
                    <w:right w:val="none" w:sz="0" w:space="0" w:color="auto"/>
                  </w:divBdr>
                  <w:divsChild>
                    <w:div w:id="58283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813417">
                          <w:marLeft w:val="0"/>
                          <w:marRight w:val="0"/>
                          <w:marTop w:val="0"/>
                          <w:marBottom w:val="0"/>
                          <w:divBdr>
                            <w:top w:val="none" w:sz="0" w:space="0" w:color="auto"/>
                            <w:left w:val="none" w:sz="0" w:space="0" w:color="auto"/>
                            <w:bottom w:val="none" w:sz="0" w:space="0" w:color="auto"/>
                            <w:right w:val="none" w:sz="0" w:space="0" w:color="auto"/>
                          </w:divBdr>
                        </w:div>
                      </w:divsChild>
                    </w:div>
                    <w:div w:id="1037314539">
                      <w:marLeft w:val="0"/>
                      <w:marRight w:val="0"/>
                      <w:marTop w:val="0"/>
                      <w:marBottom w:val="0"/>
                      <w:divBdr>
                        <w:top w:val="none" w:sz="0" w:space="0" w:color="auto"/>
                        <w:left w:val="none" w:sz="0" w:space="0" w:color="auto"/>
                        <w:bottom w:val="none" w:sz="0" w:space="0" w:color="auto"/>
                        <w:right w:val="none" w:sz="0" w:space="0" w:color="auto"/>
                      </w:divBdr>
                    </w:div>
                  </w:divsChild>
                </w:div>
                <w:div w:id="403720723">
                  <w:marLeft w:val="0"/>
                  <w:marRight w:val="0"/>
                  <w:marTop w:val="0"/>
                  <w:marBottom w:val="0"/>
                  <w:divBdr>
                    <w:top w:val="none" w:sz="0" w:space="0" w:color="auto"/>
                    <w:left w:val="none" w:sz="0" w:space="0" w:color="auto"/>
                    <w:bottom w:val="none" w:sz="0" w:space="0" w:color="auto"/>
                    <w:right w:val="none" w:sz="0" w:space="0" w:color="auto"/>
                  </w:divBdr>
                  <w:divsChild>
                    <w:div w:id="1269314280">
                      <w:marLeft w:val="0"/>
                      <w:marRight w:val="0"/>
                      <w:marTop w:val="0"/>
                      <w:marBottom w:val="0"/>
                      <w:divBdr>
                        <w:top w:val="none" w:sz="0" w:space="0" w:color="auto"/>
                        <w:left w:val="none" w:sz="0" w:space="0" w:color="auto"/>
                        <w:bottom w:val="none" w:sz="0" w:space="0" w:color="auto"/>
                        <w:right w:val="none" w:sz="0" w:space="0" w:color="auto"/>
                      </w:divBdr>
                    </w:div>
                    <w:div w:id="1764910683">
                      <w:marLeft w:val="0"/>
                      <w:marRight w:val="0"/>
                      <w:marTop w:val="0"/>
                      <w:marBottom w:val="0"/>
                      <w:divBdr>
                        <w:top w:val="none" w:sz="0" w:space="0" w:color="auto"/>
                        <w:left w:val="none" w:sz="0" w:space="0" w:color="auto"/>
                        <w:bottom w:val="none" w:sz="0" w:space="0" w:color="auto"/>
                        <w:right w:val="none" w:sz="0" w:space="0" w:color="auto"/>
                      </w:divBdr>
                    </w:div>
                    <w:div w:id="1427459347">
                      <w:marLeft w:val="0"/>
                      <w:marRight w:val="0"/>
                      <w:marTop w:val="0"/>
                      <w:marBottom w:val="0"/>
                      <w:divBdr>
                        <w:top w:val="none" w:sz="0" w:space="0" w:color="auto"/>
                        <w:left w:val="none" w:sz="0" w:space="0" w:color="auto"/>
                        <w:bottom w:val="none" w:sz="0" w:space="0" w:color="auto"/>
                        <w:right w:val="none" w:sz="0" w:space="0" w:color="auto"/>
                      </w:divBdr>
                    </w:div>
                    <w:div w:id="1779106507">
                      <w:marLeft w:val="0"/>
                      <w:marRight w:val="0"/>
                      <w:marTop w:val="0"/>
                      <w:marBottom w:val="0"/>
                      <w:divBdr>
                        <w:top w:val="none" w:sz="0" w:space="0" w:color="auto"/>
                        <w:left w:val="none" w:sz="0" w:space="0" w:color="auto"/>
                        <w:bottom w:val="none" w:sz="0" w:space="0" w:color="auto"/>
                        <w:right w:val="none" w:sz="0" w:space="0" w:color="auto"/>
                      </w:divBdr>
                    </w:div>
                    <w:div w:id="595678088">
                      <w:marLeft w:val="0"/>
                      <w:marRight w:val="0"/>
                      <w:marTop w:val="0"/>
                      <w:marBottom w:val="0"/>
                      <w:divBdr>
                        <w:top w:val="none" w:sz="0" w:space="0" w:color="auto"/>
                        <w:left w:val="none" w:sz="0" w:space="0" w:color="auto"/>
                        <w:bottom w:val="none" w:sz="0" w:space="0" w:color="auto"/>
                        <w:right w:val="none" w:sz="0" w:space="0" w:color="auto"/>
                      </w:divBdr>
                    </w:div>
                    <w:div w:id="736049270">
                      <w:marLeft w:val="0"/>
                      <w:marRight w:val="0"/>
                      <w:marTop w:val="0"/>
                      <w:marBottom w:val="0"/>
                      <w:divBdr>
                        <w:top w:val="none" w:sz="0" w:space="0" w:color="auto"/>
                        <w:left w:val="none" w:sz="0" w:space="0" w:color="auto"/>
                        <w:bottom w:val="none" w:sz="0" w:space="0" w:color="auto"/>
                        <w:right w:val="none" w:sz="0" w:space="0" w:color="auto"/>
                      </w:divBdr>
                    </w:div>
                    <w:div w:id="1697538634">
                      <w:marLeft w:val="0"/>
                      <w:marRight w:val="0"/>
                      <w:marTop w:val="0"/>
                      <w:marBottom w:val="0"/>
                      <w:divBdr>
                        <w:top w:val="none" w:sz="0" w:space="0" w:color="auto"/>
                        <w:left w:val="none" w:sz="0" w:space="0" w:color="auto"/>
                        <w:bottom w:val="none" w:sz="0" w:space="0" w:color="auto"/>
                        <w:right w:val="none" w:sz="0" w:space="0" w:color="auto"/>
                      </w:divBdr>
                    </w:div>
                    <w:div w:id="1459255789">
                      <w:marLeft w:val="0"/>
                      <w:marRight w:val="0"/>
                      <w:marTop w:val="0"/>
                      <w:marBottom w:val="0"/>
                      <w:divBdr>
                        <w:top w:val="none" w:sz="0" w:space="0" w:color="auto"/>
                        <w:left w:val="none" w:sz="0" w:space="0" w:color="auto"/>
                        <w:bottom w:val="none" w:sz="0" w:space="0" w:color="auto"/>
                        <w:right w:val="none" w:sz="0" w:space="0" w:color="auto"/>
                      </w:divBdr>
                    </w:div>
                    <w:div w:id="551694373">
                      <w:marLeft w:val="0"/>
                      <w:marRight w:val="0"/>
                      <w:marTop w:val="0"/>
                      <w:marBottom w:val="0"/>
                      <w:divBdr>
                        <w:top w:val="none" w:sz="0" w:space="0" w:color="auto"/>
                        <w:left w:val="none" w:sz="0" w:space="0" w:color="auto"/>
                        <w:bottom w:val="none" w:sz="0" w:space="0" w:color="auto"/>
                        <w:right w:val="none" w:sz="0" w:space="0" w:color="auto"/>
                      </w:divBdr>
                    </w:div>
                  </w:divsChild>
                </w:div>
                <w:div w:id="1505170552">
                  <w:marLeft w:val="0"/>
                  <w:marRight w:val="0"/>
                  <w:marTop w:val="0"/>
                  <w:marBottom w:val="0"/>
                  <w:divBdr>
                    <w:top w:val="none" w:sz="0" w:space="0" w:color="auto"/>
                    <w:left w:val="none" w:sz="0" w:space="0" w:color="auto"/>
                    <w:bottom w:val="none" w:sz="0" w:space="0" w:color="auto"/>
                    <w:right w:val="none" w:sz="0" w:space="0" w:color="auto"/>
                  </w:divBdr>
                </w:div>
                <w:div w:id="1094517423">
                  <w:marLeft w:val="0"/>
                  <w:marRight w:val="0"/>
                  <w:marTop w:val="0"/>
                  <w:marBottom w:val="0"/>
                  <w:divBdr>
                    <w:top w:val="none" w:sz="0" w:space="0" w:color="auto"/>
                    <w:left w:val="none" w:sz="0" w:space="0" w:color="auto"/>
                    <w:bottom w:val="none" w:sz="0" w:space="0" w:color="auto"/>
                    <w:right w:val="none" w:sz="0" w:space="0" w:color="auto"/>
                  </w:divBdr>
                </w:div>
                <w:div w:id="168450334">
                  <w:marLeft w:val="0"/>
                  <w:marRight w:val="0"/>
                  <w:marTop w:val="0"/>
                  <w:marBottom w:val="0"/>
                  <w:divBdr>
                    <w:top w:val="none" w:sz="0" w:space="0" w:color="auto"/>
                    <w:left w:val="none" w:sz="0" w:space="0" w:color="auto"/>
                    <w:bottom w:val="none" w:sz="0" w:space="0" w:color="auto"/>
                    <w:right w:val="none" w:sz="0" w:space="0" w:color="auto"/>
                  </w:divBdr>
                </w:div>
                <w:div w:id="53161510">
                  <w:marLeft w:val="0"/>
                  <w:marRight w:val="0"/>
                  <w:marTop w:val="0"/>
                  <w:marBottom w:val="0"/>
                  <w:divBdr>
                    <w:top w:val="none" w:sz="0" w:space="0" w:color="auto"/>
                    <w:left w:val="none" w:sz="0" w:space="0" w:color="auto"/>
                    <w:bottom w:val="none" w:sz="0" w:space="0" w:color="auto"/>
                    <w:right w:val="none" w:sz="0" w:space="0" w:color="auto"/>
                  </w:divBdr>
                </w:div>
                <w:div w:id="2282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5677">
          <w:marLeft w:val="0"/>
          <w:marRight w:val="0"/>
          <w:marTop w:val="0"/>
          <w:marBottom w:val="0"/>
          <w:divBdr>
            <w:top w:val="none" w:sz="0" w:space="0" w:color="auto"/>
            <w:left w:val="none" w:sz="0" w:space="0" w:color="auto"/>
            <w:bottom w:val="none" w:sz="0" w:space="0" w:color="auto"/>
            <w:right w:val="none" w:sz="0" w:space="0" w:color="auto"/>
          </w:divBdr>
          <w:divsChild>
            <w:div w:id="1012532061">
              <w:marLeft w:val="0"/>
              <w:marRight w:val="0"/>
              <w:marTop w:val="0"/>
              <w:marBottom w:val="0"/>
              <w:divBdr>
                <w:top w:val="none" w:sz="0" w:space="0" w:color="auto"/>
                <w:left w:val="none" w:sz="0" w:space="0" w:color="auto"/>
                <w:bottom w:val="none" w:sz="0" w:space="0" w:color="auto"/>
                <w:right w:val="none" w:sz="0" w:space="0" w:color="auto"/>
              </w:divBdr>
              <w:divsChild>
                <w:div w:id="653604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546703">
                      <w:marLeft w:val="0"/>
                      <w:marRight w:val="0"/>
                      <w:marTop w:val="0"/>
                      <w:marBottom w:val="0"/>
                      <w:divBdr>
                        <w:top w:val="none" w:sz="0" w:space="0" w:color="auto"/>
                        <w:left w:val="none" w:sz="0" w:space="0" w:color="auto"/>
                        <w:bottom w:val="none" w:sz="0" w:space="0" w:color="auto"/>
                        <w:right w:val="none" w:sz="0" w:space="0" w:color="auto"/>
                      </w:divBdr>
                      <w:divsChild>
                        <w:div w:id="1626232666">
                          <w:marLeft w:val="0"/>
                          <w:marRight w:val="0"/>
                          <w:marTop w:val="0"/>
                          <w:marBottom w:val="0"/>
                          <w:divBdr>
                            <w:top w:val="none" w:sz="0" w:space="0" w:color="auto"/>
                            <w:left w:val="none" w:sz="0" w:space="0" w:color="auto"/>
                            <w:bottom w:val="none" w:sz="0" w:space="0" w:color="auto"/>
                            <w:right w:val="none" w:sz="0" w:space="0" w:color="auto"/>
                          </w:divBdr>
                        </w:div>
                        <w:div w:id="852645301">
                          <w:marLeft w:val="0"/>
                          <w:marRight w:val="0"/>
                          <w:marTop w:val="0"/>
                          <w:marBottom w:val="0"/>
                          <w:divBdr>
                            <w:top w:val="none" w:sz="0" w:space="0" w:color="auto"/>
                            <w:left w:val="none" w:sz="0" w:space="0" w:color="auto"/>
                            <w:bottom w:val="none" w:sz="0" w:space="0" w:color="auto"/>
                            <w:right w:val="none" w:sz="0" w:space="0" w:color="auto"/>
                          </w:divBdr>
                        </w:div>
                        <w:div w:id="690185545">
                          <w:marLeft w:val="0"/>
                          <w:marRight w:val="0"/>
                          <w:marTop w:val="0"/>
                          <w:marBottom w:val="0"/>
                          <w:divBdr>
                            <w:top w:val="none" w:sz="0" w:space="0" w:color="auto"/>
                            <w:left w:val="none" w:sz="0" w:space="0" w:color="auto"/>
                            <w:bottom w:val="none" w:sz="0" w:space="0" w:color="auto"/>
                            <w:right w:val="none" w:sz="0" w:space="0" w:color="auto"/>
                          </w:divBdr>
                        </w:div>
                        <w:div w:id="1294678156">
                          <w:marLeft w:val="0"/>
                          <w:marRight w:val="0"/>
                          <w:marTop w:val="0"/>
                          <w:marBottom w:val="0"/>
                          <w:divBdr>
                            <w:top w:val="none" w:sz="0" w:space="0" w:color="auto"/>
                            <w:left w:val="none" w:sz="0" w:space="0" w:color="auto"/>
                            <w:bottom w:val="none" w:sz="0" w:space="0" w:color="auto"/>
                            <w:right w:val="none" w:sz="0" w:space="0" w:color="auto"/>
                          </w:divBdr>
                        </w:div>
                        <w:div w:id="22556288">
                          <w:marLeft w:val="0"/>
                          <w:marRight w:val="0"/>
                          <w:marTop w:val="0"/>
                          <w:marBottom w:val="0"/>
                          <w:divBdr>
                            <w:top w:val="none" w:sz="0" w:space="0" w:color="auto"/>
                            <w:left w:val="none" w:sz="0" w:space="0" w:color="auto"/>
                            <w:bottom w:val="none" w:sz="0" w:space="0" w:color="auto"/>
                            <w:right w:val="none" w:sz="0" w:space="0" w:color="auto"/>
                          </w:divBdr>
                        </w:div>
                        <w:div w:id="1951430714">
                          <w:marLeft w:val="0"/>
                          <w:marRight w:val="0"/>
                          <w:marTop w:val="0"/>
                          <w:marBottom w:val="0"/>
                          <w:divBdr>
                            <w:top w:val="none" w:sz="0" w:space="0" w:color="auto"/>
                            <w:left w:val="none" w:sz="0" w:space="0" w:color="auto"/>
                            <w:bottom w:val="none" w:sz="0" w:space="0" w:color="auto"/>
                            <w:right w:val="none" w:sz="0" w:space="0" w:color="auto"/>
                          </w:divBdr>
                        </w:div>
                        <w:div w:id="2092727702">
                          <w:marLeft w:val="0"/>
                          <w:marRight w:val="0"/>
                          <w:marTop w:val="0"/>
                          <w:marBottom w:val="0"/>
                          <w:divBdr>
                            <w:top w:val="none" w:sz="0" w:space="0" w:color="auto"/>
                            <w:left w:val="none" w:sz="0" w:space="0" w:color="auto"/>
                            <w:bottom w:val="none" w:sz="0" w:space="0" w:color="auto"/>
                            <w:right w:val="none" w:sz="0" w:space="0" w:color="auto"/>
                          </w:divBdr>
                        </w:div>
                        <w:div w:id="275674430">
                          <w:marLeft w:val="0"/>
                          <w:marRight w:val="0"/>
                          <w:marTop w:val="0"/>
                          <w:marBottom w:val="0"/>
                          <w:divBdr>
                            <w:top w:val="none" w:sz="0" w:space="0" w:color="auto"/>
                            <w:left w:val="none" w:sz="0" w:space="0" w:color="auto"/>
                            <w:bottom w:val="none" w:sz="0" w:space="0" w:color="auto"/>
                            <w:right w:val="none" w:sz="0" w:space="0" w:color="auto"/>
                          </w:divBdr>
                        </w:div>
                        <w:div w:id="146367384">
                          <w:marLeft w:val="0"/>
                          <w:marRight w:val="0"/>
                          <w:marTop w:val="0"/>
                          <w:marBottom w:val="0"/>
                          <w:divBdr>
                            <w:top w:val="none" w:sz="0" w:space="0" w:color="auto"/>
                            <w:left w:val="none" w:sz="0" w:space="0" w:color="auto"/>
                            <w:bottom w:val="none" w:sz="0" w:space="0" w:color="auto"/>
                            <w:right w:val="none" w:sz="0" w:space="0" w:color="auto"/>
                          </w:divBdr>
                        </w:div>
                        <w:div w:id="297491092">
                          <w:marLeft w:val="0"/>
                          <w:marRight w:val="0"/>
                          <w:marTop w:val="0"/>
                          <w:marBottom w:val="0"/>
                          <w:divBdr>
                            <w:top w:val="none" w:sz="0" w:space="0" w:color="auto"/>
                            <w:left w:val="none" w:sz="0" w:space="0" w:color="auto"/>
                            <w:bottom w:val="none" w:sz="0" w:space="0" w:color="auto"/>
                            <w:right w:val="none" w:sz="0" w:space="0" w:color="auto"/>
                          </w:divBdr>
                          <w:divsChild>
                            <w:div w:id="765078868">
                              <w:marLeft w:val="0"/>
                              <w:marRight w:val="0"/>
                              <w:marTop w:val="0"/>
                              <w:marBottom w:val="0"/>
                              <w:divBdr>
                                <w:top w:val="single" w:sz="8" w:space="3" w:color="E1E1E1"/>
                                <w:left w:val="none" w:sz="0" w:space="0" w:color="auto"/>
                                <w:bottom w:val="none" w:sz="0" w:space="0" w:color="auto"/>
                                <w:right w:val="none" w:sz="0" w:space="0" w:color="auto"/>
                              </w:divBdr>
                              <w:divsChild>
                                <w:div w:id="1862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7988">
                          <w:marLeft w:val="0"/>
                          <w:marRight w:val="0"/>
                          <w:marTop w:val="0"/>
                          <w:marBottom w:val="0"/>
                          <w:divBdr>
                            <w:top w:val="none" w:sz="0" w:space="0" w:color="auto"/>
                            <w:left w:val="none" w:sz="0" w:space="0" w:color="auto"/>
                            <w:bottom w:val="none" w:sz="0" w:space="0" w:color="auto"/>
                            <w:right w:val="none" w:sz="0" w:space="0" w:color="auto"/>
                          </w:divBdr>
                        </w:div>
                        <w:div w:id="17008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80288">
      <w:bodyDiv w:val="1"/>
      <w:marLeft w:val="0"/>
      <w:marRight w:val="0"/>
      <w:marTop w:val="0"/>
      <w:marBottom w:val="0"/>
      <w:divBdr>
        <w:top w:val="none" w:sz="0" w:space="0" w:color="auto"/>
        <w:left w:val="none" w:sz="0" w:space="0" w:color="auto"/>
        <w:bottom w:val="none" w:sz="0" w:space="0" w:color="auto"/>
        <w:right w:val="none" w:sz="0" w:space="0" w:color="auto"/>
      </w:divBdr>
      <w:divsChild>
        <w:div w:id="370689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3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2418">
      <w:bodyDiv w:val="1"/>
      <w:marLeft w:val="0"/>
      <w:marRight w:val="0"/>
      <w:marTop w:val="0"/>
      <w:marBottom w:val="0"/>
      <w:divBdr>
        <w:top w:val="none" w:sz="0" w:space="0" w:color="auto"/>
        <w:left w:val="none" w:sz="0" w:space="0" w:color="auto"/>
        <w:bottom w:val="none" w:sz="0" w:space="0" w:color="auto"/>
        <w:right w:val="none" w:sz="0" w:space="0" w:color="auto"/>
      </w:divBdr>
      <w:divsChild>
        <w:div w:id="20525303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607482">
              <w:marLeft w:val="0"/>
              <w:marRight w:val="0"/>
              <w:marTop w:val="0"/>
              <w:marBottom w:val="0"/>
              <w:divBdr>
                <w:top w:val="none" w:sz="0" w:space="0" w:color="auto"/>
                <w:left w:val="none" w:sz="0" w:space="0" w:color="auto"/>
                <w:bottom w:val="none" w:sz="0" w:space="0" w:color="auto"/>
                <w:right w:val="none" w:sz="0" w:space="0" w:color="auto"/>
              </w:divBdr>
              <w:divsChild>
                <w:div w:id="19291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ture.com/articles/nrgastro.2015.117/tables/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891</Words>
  <Characters>5079</Characters>
  <Application>Microsoft Macintosh Word</Application>
  <DocSecurity>0</DocSecurity>
  <Lines>42</Lines>
  <Paragraphs>11</Paragraphs>
  <ScaleCrop>false</ScaleCrop>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Doherty</dc:creator>
  <cp:keywords/>
  <dc:description/>
  <cp:lastModifiedBy>Matt Doherty</cp:lastModifiedBy>
  <cp:revision>4</cp:revision>
  <dcterms:created xsi:type="dcterms:W3CDTF">2018-01-26T06:02:00Z</dcterms:created>
  <dcterms:modified xsi:type="dcterms:W3CDTF">2018-02-01T22:07:00Z</dcterms:modified>
</cp:coreProperties>
</file>