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78D88" w14:textId="77777777" w:rsidR="002A11F6" w:rsidRDefault="00B07C2D">
      <w:pPr>
        <w:pStyle w:val="Title"/>
      </w:pPr>
      <w:r>
        <w:t>The Diagnostic Potential &amp; Interactive Dynamics of the Colorectal Cancer Virome</w:t>
      </w:r>
    </w:p>
    <w:p w14:paraId="02BD5634" w14:textId="77777777" w:rsidR="002A11F6" w:rsidRDefault="00B07C2D">
      <w:pPr>
        <w:pStyle w:val="FirstParagraph"/>
      </w:pPr>
      <w:r>
        <w:t> </w:t>
      </w:r>
    </w:p>
    <w:p w14:paraId="34A0BA6B" w14:textId="77777777" w:rsidR="009B0898" w:rsidRPr="009B0898" w:rsidRDefault="009B0898" w:rsidP="009B0898">
      <w:pPr>
        <w:widowControl w:val="0"/>
        <w:autoSpaceDE w:val="0"/>
        <w:autoSpaceDN w:val="0"/>
        <w:adjustRightInd w:val="0"/>
        <w:spacing w:after="240" w:line="360" w:lineRule="atLeast"/>
        <w:jc w:val="center"/>
        <w:rPr>
          <w:rFonts w:ascii="Times Roman" w:hAnsi="Times Roman" w:cs="Times Roman"/>
          <w:color w:val="000000"/>
          <w:sz w:val="20"/>
        </w:rPr>
      </w:pPr>
      <w:bookmarkStart w:id="0" w:name="abstract"/>
      <w:bookmarkEnd w:id="0"/>
      <w:r w:rsidRPr="009B0898">
        <w:rPr>
          <w:rFonts w:ascii="Helvetica" w:hAnsi="Helvetica" w:cs="Helvetica"/>
          <w:color w:val="000000"/>
          <w:szCs w:val="32"/>
        </w:rPr>
        <w:t>Geoffrey D Hannigan</w:t>
      </w:r>
      <w:r w:rsidRPr="009B0898">
        <w:rPr>
          <w:rFonts w:ascii="Helvetica" w:hAnsi="Helvetica" w:cs="Helvetica"/>
          <w:color w:val="000000"/>
          <w:position w:val="13"/>
          <w:sz w:val="18"/>
          <w:szCs w:val="21"/>
        </w:rPr>
        <w:t xml:space="preserve">1 </w:t>
      </w:r>
      <w:r w:rsidRPr="009B0898">
        <w:rPr>
          <w:rFonts w:ascii="Helvetica" w:hAnsi="Helvetica" w:cs="Helvetica"/>
          <w:color w:val="000000"/>
          <w:szCs w:val="32"/>
        </w:rPr>
        <w:t xml:space="preserve">, Melissa B </w:t>
      </w:r>
      <w:proofErr w:type="spellStart"/>
      <w:r w:rsidRPr="009B0898">
        <w:rPr>
          <w:rFonts w:ascii="Helvetica" w:hAnsi="Helvetica" w:cs="Helvetica"/>
          <w:color w:val="000000"/>
          <w:szCs w:val="32"/>
        </w:rPr>
        <w:t>Duhaime</w:t>
      </w:r>
      <w:proofErr w:type="spellEnd"/>
      <w:r w:rsidRPr="009B0898">
        <w:rPr>
          <w:rFonts w:ascii="Helvetica" w:hAnsi="Helvetica" w:cs="Helvetica"/>
          <w:color w:val="000000"/>
          <w:position w:val="13"/>
          <w:sz w:val="18"/>
          <w:szCs w:val="21"/>
        </w:rPr>
        <w:t xml:space="preserve">2 </w:t>
      </w:r>
      <w:r w:rsidRPr="009B0898">
        <w:rPr>
          <w:rFonts w:ascii="Helvetica" w:hAnsi="Helvetica" w:cs="Helvetica"/>
          <w:color w:val="000000"/>
          <w:szCs w:val="32"/>
        </w:rPr>
        <w:t>, Mack T Ruffin IV</w:t>
      </w:r>
      <w:r w:rsidRPr="009B0898">
        <w:rPr>
          <w:rFonts w:ascii="Helvetica" w:hAnsi="Helvetica" w:cs="Helvetica"/>
          <w:color w:val="000000"/>
          <w:position w:val="13"/>
          <w:sz w:val="18"/>
          <w:szCs w:val="21"/>
        </w:rPr>
        <w:t xml:space="preserve">3 </w:t>
      </w:r>
      <w:r w:rsidRPr="009B0898">
        <w:rPr>
          <w:rFonts w:ascii="Helvetica" w:hAnsi="Helvetica" w:cs="Helvetica"/>
          <w:color w:val="000000"/>
          <w:szCs w:val="32"/>
        </w:rPr>
        <w:t xml:space="preserve">, Charlie C </w:t>
      </w:r>
      <w:proofErr w:type="spellStart"/>
      <w:r w:rsidRPr="009B0898">
        <w:rPr>
          <w:rFonts w:ascii="Helvetica" w:hAnsi="Helvetica" w:cs="Helvetica"/>
          <w:color w:val="000000"/>
          <w:szCs w:val="32"/>
        </w:rPr>
        <w:t>Koumpouras</w:t>
      </w:r>
      <w:proofErr w:type="spellEnd"/>
      <w:r w:rsidRPr="009B0898">
        <w:rPr>
          <w:rFonts w:ascii="Helvetica" w:hAnsi="Helvetica" w:cs="Helvetica"/>
          <w:color w:val="000000"/>
          <w:position w:val="13"/>
          <w:sz w:val="18"/>
          <w:szCs w:val="21"/>
        </w:rPr>
        <w:t xml:space="preserve">1 </w:t>
      </w:r>
      <w:r w:rsidRPr="009B0898">
        <w:rPr>
          <w:rFonts w:ascii="Helvetica" w:hAnsi="Helvetica" w:cs="Helvetica"/>
          <w:color w:val="000000"/>
          <w:szCs w:val="32"/>
        </w:rPr>
        <w:t>, and Patrick D Schloss</w:t>
      </w:r>
      <w:r w:rsidRPr="009B0898">
        <w:rPr>
          <w:rFonts w:ascii="Helvetica" w:hAnsi="Helvetica" w:cs="Helvetica"/>
          <w:color w:val="000000"/>
          <w:position w:val="13"/>
          <w:sz w:val="18"/>
          <w:szCs w:val="21"/>
        </w:rPr>
        <w:t>1,*</w:t>
      </w:r>
    </w:p>
    <w:p w14:paraId="151C7730" w14:textId="77777777" w:rsidR="009B0898" w:rsidRPr="009B0898" w:rsidRDefault="009B0898" w:rsidP="009B0898">
      <w:pPr>
        <w:widowControl w:val="0"/>
        <w:autoSpaceDE w:val="0"/>
        <w:autoSpaceDN w:val="0"/>
        <w:adjustRightInd w:val="0"/>
        <w:spacing w:after="240" w:line="260" w:lineRule="atLeast"/>
        <w:jc w:val="center"/>
        <w:rPr>
          <w:rFonts w:ascii="Times Roman" w:hAnsi="Times Roman" w:cs="Times Roman"/>
          <w:color w:val="000000"/>
          <w:sz w:val="20"/>
        </w:rPr>
      </w:pPr>
      <w:r w:rsidRPr="009B0898">
        <w:rPr>
          <w:rFonts w:ascii="Helvetica" w:hAnsi="Helvetica" w:cs="Helvetica"/>
          <w:color w:val="000000"/>
          <w:position w:val="13"/>
          <w:sz w:val="18"/>
          <w:szCs w:val="21"/>
        </w:rPr>
        <w:t>1</w:t>
      </w:r>
      <w:r w:rsidRPr="009B0898">
        <w:rPr>
          <w:rFonts w:ascii="Helvetica" w:hAnsi="Helvetica" w:cs="Helvetica"/>
          <w:color w:val="000000"/>
          <w:sz w:val="22"/>
          <w:szCs w:val="26"/>
        </w:rPr>
        <w:t xml:space="preserve">Department of Microbiology &amp; Immunology, University of Michigan, Ann Arbor, Michigan, 48109 </w:t>
      </w:r>
      <w:r w:rsidRPr="009B0898">
        <w:rPr>
          <w:rFonts w:ascii="Helvetica" w:hAnsi="Helvetica" w:cs="Helvetica"/>
          <w:color w:val="000000"/>
          <w:position w:val="13"/>
          <w:sz w:val="18"/>
          <w:szCs w:val="21"/>
        </w:rPr>
        <w:t>2</w:t>
      </w:r>
      <w:r w:rsidRPr="009B0898">
        <w:rPr>
          <w:rFonts w:ascii="Helvetica" w:hAnsi="Helvetica" w:cs="Helvetica"/>
          <w:color w:val="000000"/>
          <w:sz w:val="22"/>
          <w:szCs w:val="26"/>
        </w:rPr>
        <w:t xml:space="preserve">Department of Ecology and Evolutionary Biology, University of Michigan, Ann Arbor, Michigan, 48109 </w:t>
      </w:r>
      <w:r w:rsidRPr="009B0898">
        <w:rPr>
          <w:rFonts w:ascii="Helvetica" w:hAnsi="Helvetica" w:cs="Helvetica"/>
          <w:color w:val="000000"/>
          <w:position w:val="13"/>
          <w:sz w:val="18"/>
          <w:szCs w:val="21"/>
        </w:rPr>
        <w:t>3</w:t>
      </w:r>
      <w:r w:rsidRPr="009B0898">
        <w:rPr>
          <w:rFonts w:ascii="Helvetica" w:hAnsi="Helvetica" w:cs="Helvetica"/>
          <w:color w:val="000000"/>
          <w:sz w:val="22"/>
          <w:szCs w:val="26"/>
        </w:rPr>
        <w:t>Department of Family and Community Medicine, Pennsylvania State University Hershey Medical Center, Hershey, Pennsylvania, 17033 </w:t>
      </w:r>
      <w:r w:rsidRPr="009B0898">
        <w:rPr>
          <w:rFonts w:ascii="Helvetica" w:hAnsi="Helvetica" w:cs="Helvetica"/>
          <w:color w:val="000000"/>
          <w:position w:val="13"/>
          <w:sz w:val="18"/>
          <w:szCs w:val="21"/>
        </w:rPr>
        <w:t>*</w:t>
      </w:r>
      <w:r w:rsidRPr="009B0898">
        <w:rPr>
          <w:rFonts w:ascii="Helvetica" w:hAnsi="Helvetica" w:cs="Helvetica"/>
          <w:color w:val="000000"/>
          <w:sz w:val="22"/>
          <w:szCs w:val="26"/>
        </w:rPr>
        <w:t>To whom correspondence may be addressed.</w:t>
      </w:r>
    </w:p>
    <w:p w14:paraId="00152E87" w14:textId="77777777" w:rsidR="009B0898" w:rsidRPr="009B0898" w:rsidRDefault="009B0898" w:rsidP="009B0898">
      <w:pPr>
        <w:widowControl w:val="0"/>
        <w:autoSpaceDE w:val="0"/>
        <w:autoSpaceDN w:val="0"/>
        <w:adjustRightInd w:val="0"/>
        <w:spacing w:after="240" w:line="300" w:lineRule="atLeast"/>
        <w:jc w:val="center"/>
        <w:rPr>
          <w:rFonts w:ascii="Times Roman" w:hAnsi="Times Roman" w:cs="Times Roman"/>
          <w:color w:val="000000"/>
          <w:sz w:val="20"/>
        </w:rPr>
      </w:pPr>
      <w:r w:rsidRPr="009B0898">
        <w:rPr>
          <w:rFonts w:ascii="Helvetica" w:hAnsi="Helvetica" w:cs="Helvetica"/>
          <w:b/>
          <w:bCs/>
          <w:i/>
          <w:iCs/>
          <w:color w:val="000000"/>
          <w:sz w:val="22"/>
          <w:szCs w:val="26"/>
        </w:rPr>
        <w:t>Corresponding Author Information</w:t>
      </w:r>
    </w:p>
    <w:p w14:paraId="47A6AC76" w14:textId="77777777" w:rsidR="009B0898" w:rsidRDefault="009B0898" w:rsidP="009B0898">
      <w:pPr>
        <w:widowControl w:val="0"/>
        <w:autoSpaceDE w:val="0"/>
        <w:autoSpaceDN w:val="0"/>
        <w:adjustRightInd w:val="0"/>
        <w:spacing w:after="240" w:line="300" w:lineRule="atLeast"/>
        <w:jc w:val="center"/>
        <w:rPr>
          <w:rFonts w:ascii="Helvetica" w:hAnsi="Helvetica" w:cs="Helvetica"/>
          <w:color w:val="000000"/>
          <w:sz w:val="22"/>
          <w:szCs w:val="26"/>
        </w:rPr>
      </w:pPr>
      <w:r w:rsidRPr="009B0898">
        <w:rPr>
          <w:rFonts w:ascii="Helvetica" w:hAnsi="Helvetica" w:cs="Helvetica"/>
          <w:color w:val="000000"/>
          <w:sz w:val="22"/>
          <w:szCs w:val="26"/>
        </w:rPr>
        <w:t>Patrick D Schloss, PhD </w:t>
      </w:r>
    </w:p>
    <w:p w14:paraId="60330648" w14:textId="77777777" w:rsidR="009B0898" w:rsidRDefault="009B0898" w:rsidP="009B0898">
      <w:pPr>
        <w:widowControl w:val="0"/>
        <w:autoSpaceDE w:val="0"/>
        <w:autoSpaceDN w:val="0"/>
        <w:adjustRightInd w:val="0"/>
        <w:spacing w:after="240" w:line="300" w:lineRule="atLeast"/>
        <w:jc w:val="center"/>
        <w:rPr>
          <w:rFonts w:ascii="Helvetica" w:hAnsi="Helvetica" w:cs="Helvetica"/>
          <w:color w:val="000000"/>
          <w:sz w:val="22"/>
          <w:szCs w:val="26"/>
        </w:rPr>
      </w:pPr>
      <w:r w:rsidRPr="009B0898">
        <w:rPr>
          <w:rFonts w:ascii="Helvetica" w:hAnsi="Helvetica" w:cs="Helvetica"/>
          <w:color w:val="000000"/>
          <w:sz w:val="22"/>
          <w:szCs w:val="26"/>
        </w:rPr>
        <w:t xml:space="preserve">1150 W Medical Center Dr. </w:t>
      </w:r>
    </w:p>
    <w:p w14:paraId="2084D059" w14:textId="77777777" w:rsidR="009B0898" w:rsidRDefault="009B0898" w:rsidP="009B0898">
      <w:pPr>
        <w:widowControl w:val="0"/>
        <w:autoSpaceDE w:val="0"/>
        <w:autoSpaceDN w:val="0"/>
        <w:adjustRightInd w:val="0"/>
        <w:spacing w:after="240" w:line="300" w:lineRule="atLeast"/>
        <w:jc w:val="center"/>
        <w:rPr>
          <w:rFonts w:ascii="Helvetica" w:hAnsi="Helvetica" w:cs="Helvetica"/>
          <w:color w:val="000000"/>
          <w:sz w:val="22"/>
          <w:szCs w:val="26"/>
        </w:rPr>
      </w:pPr>
      <w:r w:rsidRPr="009B0898">
        <w:rPr>
          <w:rFonts w:ascii="Helvetica" w:hAnsi="Helvetica" w:cs="Helvetica"/>
          <w:color w:val="000000"/>
          <w:sz w:val="22"/>
          <w:szCs w:val="26"/>
        </w:rPr>
        <w:t xml:space="preserve">1526 MSRB I </w:t>
      </w:r>
    </w:p>
    <w:p w14:paraId="2239B828" w14:textId="77777777" w:rsidR="009B0898" w:rsidRDefault="009B0898" w:rsidP="009B0898">
      <w:pPr>
        <w:widowControl w:val="0"/>
        <w:autoSpaceDE w:val="0"/>
        <w:autoSpaceDN w:val="0"/>
        <w:adjustRightInd w:val="0"/>
        <w:spacing w:after="240" w:line="300" w:lineRule="atLeast"/>
        <w:jc w:val="center"/>
        <w:rPr>
          <w:rFonts w:ascii="Helvetica" w:hAnsi="Helvetica" w:cs="Helvetica"/>
          <w:color w:val="000000"/>
          <w:sz w:val="22"/>
          <w:szCs w:val="26"/>
        </w:rPr>
      </w:pPr>
      <w:r w:rsidRPr="009B0898">
        <w:rPr>
          <w:rFonts w:ascii="Helvetica" w:hAnsi="Helvetica" w:cs="Helvetica"/>
          <w:color w:val="000000"/>
          <w:sz w:val="22"/>
          <w:szCs w:val="26"/>
        </w:rPr>
        <w:t xml:space="preserve">Ann Arbor, Michigan </w:t>
      </w:r>
    </w:p>
    <w:p w14:paraId="1B5A977F" w14:textId="77777777" w:rsidR="009B0898" w:rsidRDefault="009B0898" w:rsidP="009B0898">
      <w:pPr>
        <w:widowControl w:val="0"/>
        <w:autoSpaceDE w:val="0"/>
        <w:autoSpaceDN w:val="0"/>
        <w:adjustRightInd w:val="0"/>
        <w:spacing w:after="240" w:line="300" w:lineRule="atLeast"/>
        <w:jc w:val="center"/>
        <w:rPr>
          <w:rFonts w:ascii="Helvetica" w:hAnsi="Helvetica" w:cs="Helvetica"/>
          <w:color w:val="000000"/>
          <w:sz w:val="22"/>
          <w:szCs w:val="26"/>
        </w:rPr>
      </w:pPr>
      <w:r w:rsidRPr="009B0898">
        <w:rPr>
          <w:rFonts w:ascii="Helvetica" w:hAnsi="Helvetica" w:cs="Helvetica"/>
          <w:color w:val="000000"/>
          <w:sz w:val="22"/>
          <w:szCs w:val="26"/>
        </w:rPr>
        <w:t>48109 Phone: (734) 647-5801</w:t>
      </w:r>
    </w:p>
    <w:p w14:paraId="7D72A91E" w14:textId="77777777" w:rsidR="009B0898" w:rsidRDefault="009B0898" w:rsidP="009B0898">
      <w:pPr>
        <w:widowControl w:val="0"/>
        <w:autoSpaceDE w:val="0"/>
        <w:autoSpaceDN w:val="0"/>
        <w:adjustRightInd w:val="0"/>
        <w:spacing w:after="240" w:line="300" w:lineRule="atLeast"/>
        <w:jc w:val="center"/>
        <w:rPr>
          <w:rFonts w:ascii="Helvetica" w:hAnsi="Helvetica" w:cs="Helvetica"/>
          <w:color w:val="000000"/>
          <w:sz w:val="22"/>
          <w:szCs w:val="26"/>
        </w:rPr>
      </w:pPr>
      <w:r w:rsidRPr="009B0898">
        <w:rPr>
          <w:rFonts w:ascii="Helvetica" w:hAnsi="Helvetica" w:cs="Helvetica"/>
          <w:color w:val="000000"/>
          <w:sz w:val="22"/>
          <w:szCs w:val="26"/>
        </w:rPr>
        <w:t> Email: pschloss@umich.edu</w:t>
      </w:r>
    </w:p>
    <w:p w14:paraId="32CED6C4" w14:textId="77777777" w:rsidR="009B0898" w:rsidRPr="009B0898" w:rsidRDefault="009B0898" w:rsidP="009B0898">
      <w:pPr>
        <w:widowControl w:val="0"/>
        <w:autoSpaceDE w:val="0"/>
        <w:autoSpaceDN w:val="0"/>
        <w:adjustRightInd w:val="0"/>
        <w:spacing w:after="240" w:line="300" w:lineRule="atLeast"/>
        <w:jc w:val="center"/>
        <w:rPr>
          <w:rFonts w:ascii="Times Roman" w:hAnsi="Times Roman" w:cs="Times Roman"/>
          <w:color w:val="000000"/>
          <w:sz w:val="20"/>
        </w:rPr>
      </w:pPr>
    </w:p>
    <w:p w14:paraId="4411E236" w14:textId="77777777" w:rsidR="009B0898" w:rsidRDefault="009B0898" w:rsidP="009B0898">
      <w:pPr>
        <w:widowControl w:val="0"/>
        <w:autoSpaceDE w:val="0"/>
        <w:autoSpaceDN w:val="0"/>
        <w:adjustRightInd w:val="0"/>
        <w:spacing w:after="240" w:line="300" w:lineRule="atLeast"/>
        <w:jc w:val="center"/>
        <w:rPr>
          <w:rFonts w:ascii="Helvetica" w:hAnsi="Helvetica" w:cs="Helvetica"/>
          <w:color w:val="000000"/>
          <w:sz w:val="22"/>
          <w:szCs w:val="26"/>
        </w:rPr>
      </w:pPr>
      <w:r w:rsidRPr="009B0898">
        <w:rPr>
          <w:rFonts w:ascii="Helvetica" w:hAnsi="Helvetica" w:cs="Helvetica"/>
          <w:b/>
          <w:bCs/>
          <w:color w:val="000000"/>
          <w:sz w:val="22"/>
          <w:szCs w:val="26"/>
        </w:rPr>
        <w:t>Article Class</w:t>
      </w:r>
      <w:r w:rsidRPr="009B0898">
        <w:rPr>
          <w:rFonts w:ascii="Helvetica" w:hAnsi="Helvetica" w:cs="Helvetica"/>
          <w:color w:val="000000"/>
          <w:sz w:val="22"/>
          <w:szCs w:val="26"/>
        </w:rPr>
        <w:t>: Research Article</w:t>
      </w:r>
    </w:p>
    <w:p w14:paraId="7D20169E" w14:textId="77777777" w:rsidR="009B0898" w:rsidRDefault="009B0898" w:rsidP="009B0898">
      <w:pPr>
        <w:widowControl w:val="0"/>
        <w:autoSpaceDE w:val="0"/>
        <w:autoSpaceDN w:val="0"/>
        <w:adjustRightInd w:val="0"/>
        <w:spacing w:after="240" w:line="300" w:lineRule="atLeast"/>
        <w:jc w:val="center"/>
        <w:rPr>
          <w:rFonts w:ascii="Helvetica" w:hAnsi="Helvetica" w:cs="Helvetica"/>
          <w:color w:val="000000"/>
          <w:sz w:val="22"/>
          <w:szCs w:val="26"/>
        </w:rPr>
      </w:pPr>
    </w:p>
    <w:p w14:paraId="5310A5E8" w14:textId="77777777" w:rsidR="009B0898" w:rsidRDefault="009B0898" w:rsidP="009B0898">
      <w:pPr>
        <w:widowControl w:val="0"/>
        <w:autoSpaceDE w:val="0"/>
        <w:autoSpaceDN w:val="0"/>
        <w:adjustRightInd w:val="0"/>
        <w:spacing w:after="240" w:line="300" w:lineRule="atLeast"/>
        <w:jc w:val="center"/>
        <w:rPr>
          <w:rFonts w:ascii="Helvetica" w:hAnsi="Helvetica" w:cs="Helvetica"/>
          <w:color w:val="000000"/>
          <w:sz w:val="22"/>
          <w:szCs w:val="26"/>
        </w:rPr>
      </w:pPr>
    </w:p>
    <w:p w14:paraId="40B98E85" w14:textId="77777777" w:rsidR="009B0898" w:rsidRDefault="009B0898" w:rsidP="009B0898">
      <w:pPr>
        <w:widowControl w:val="0"/>
        <w:autoSpaceDE w:val="0"/>
        <w:autoSpaceDN w:val="0"/>
        <w:adjustRightInd w:val="0"/>
        <w:spacing w:after="240" w:line="300" w:lineRule="atLeast"/>
        <w:jc w:val="center"/>
        <w:rPr>
          <w:rFonts w:ascii="Helvetica" w:hAnsi="Helvetica" w:cs="Helvetica"/>
          <w:color w:val="000000"/>
          <w:sz w:val="22"/>
          <w:szCs w:val="26"/>
        </w:rPr>
      </w:pPr>
    </w:p>
    <w:p w14:paraId="299D6AF8" w14:textId="77777777" w:rsidR="009B0898" w:rsidRPr="009B0898" w:rsidRDefault="009B0898" w:rsidP="009B0898">
      <w:pPr>
        <w:widowControl w:val="0"/>
        <w:autoSpaceDE w:val="0"/>
        <w:autoSpaceDN w:val="0"/>
        <w:adjustRightInd w:val="0"/>
        <w:spacing w:after="240" w:line="300" w:lineRule="atLeast"/>
        <w:jc w:val="center"/>
        <w:rPr>
          <w:rFonts w:ascii="Times Roman" w:hAnsi="Times Roman" w:cs="Times Roman"/>
          <w:color w:val="000000"/>
          <w:sz w:val="20"/>
        </w:rPr>
      </w:pPr>
    </w:p>
    <w:p w14:paraId="171D8017" w14:textId="77777777" w:rsidR="002A11F6" w:rsidRDefault="00B07C2D">
      <w:pPr>
        <w:pStyle w:val="Heading1"/>
      </w:pPr>
      <w:r>
        <w:lastRenderedPageBreak/>
        <w:t>A</w:t>
      </w:r>
      <w:r>
        <w:t>bstract</w:t>
      </w:r>
    </w:p>
    <w:p w14:paraId="61C7BD95" w14:textId="77777777" w:rsidR="002A11F6" w:rsidRDefault="00B07C2D">
      <w:pPr>
        <w:pStyle w:val="FirstParagraph"/>
      </w:pPr>
      <w:r>
        <w:t>Human viruses (those that infect human cells) have been associated with many cancers, largely due to their mutagenic and functionally manipulative abilities. Despite this, cancer microbiome studies have almost exclu</w:t>
      </w:r>
      <w:r>
        <w:t xml:space="preserve">sively focused on bacteria instead of viruses. We began evaluating the cancer virome by focusing on colorectal cancer, a primary cause of morbidity and mortality throughout the world, and a cancer linked to altered colonic bacterial community compositions </w:t>
      </w:r>
      <w:r>
        <w:t>but with an unknown association with the gut virome. We used 16S rRNA gene, whole shotgun metagenomic, and purified virus metagenomic sequencing of stool to evaluate the differences in human colorectal cancer virus and bacterial community composition. Thro</w:t>
      </w:r>
      <w:r>
        <w:t>ugh random forest modeling we identified differences in the healthy and colorectal cancer virome. The cancer-associated virome consisted primarily of temperate bacteriophages that were also predicted to be bacteria-virus community network hubs. These resul</w:t>
      </w:r>
      <w:r>
        <w:t>ts provide foundational evidence that bacteriophage communities are associated with colorectal cancer and potentially impact cancer progression by altering the bacterial host communities.</w:t>
      </w:r>
    </w:p>
    <w:p w14:paraId="46C0E50E" w14:textId="77777777" w:rsidR="002A11F6" w:rsidRDefault="00B07C2D">
      <w:pPr>
        <w:pStyle w:val="Heading1"/>
      </w:pPr>
      <w:bookmarkStart w:id="1" w:name="importance"/>
      <w:bookmarkEnd w:id="1"/>
      <w:r>
        <w:t>Importance</w:t>
      </w:r>
    </w:p>
    <w:p w14:paraId="71202173" w14:textId="77777777" w:rsidR="002A11F6" w:rsidRDefault="00B07C2D">
      <w:pPr>
        <w:pStyle w:val="FirstParagraph"/>
      </w:pPr>
      <w:r>
        <w:t>Colorectal cancer is a leading cause of cancer-related de</w:t>
      </w:r>
      <w:r>
        <w:t>ath in the United States and worldwide. Its risk and severity have been linked to colonic bacterial community composition. Although human-specific viruses have been linked to other cancers and diseases, little is known about colorectal cancer virus communi</w:t>
      </w:r>
      <w:r>
        <w:t>ties. We addressed this knowledge gap by identifying differences in colonic virus communities in the stool of colorectal cancer patients and how they compared to bacterial community differences. The results suggested an indirect role for the virome in impa</w:t>
      </w:r>
      <w:r>
        <w:t>cting colorectal cancer by modulating their associated bacterial community. These findings both support a biological role for viruses in colorectal cancer and provide a new understanding of basic colorectal cancer etiology.</w:t>
      </w:r>
    </w:p>
    <w:p w14:paraId="78B03109" w14:textId="77777777" w:rsidR="002A11F6" w:rsidRDefault="00B07C2D">
      <w:pPr>
        <w:pStyle w:val="Heading1"/>
      </w:pPr>
      <w:bookmarkStart w:id="2" w:name="introduction"/>
      <w:bookmarkEnd w:id="2"/>
      <w:r>
        <w:t>Introduction</w:t>
      </w:r>
    </w:p>
    <w:p w14:paraId="1A5614A4" w14:textId="77777777" w:rsidR="002A11F6" w:rsidRDefault="00B07C2D">
      <w:pPr>
        <w:pStyle w:val="FirstParagraph"/>
      </w:pPr>
      <w:r>
        <w:t>The human gut virom</w:t>
      </w:r>
      <w:r>
        <w:t>e is the community of all viruses found in the gut, including bacteriophages (viruses that only infect bacteria), eukaryotic viruses (viruses that only infect eukaryotic cells), and human-specific viruses (viruses that only infect human cells). Due to thei</w:t>
      </w:r>
      <w:r>
        <w:t xml:space="preserve">r mutagenic abilities and propensity for functional manipulation, human viruses are strongly associated with, and in many cases cause, cancer (1–4). Because bacteriophages are crucial for bacterial community stability and composition (5–7), and members of </w:t>
      </w:r>
      <w:r>
        <w:t>those bacterial communities have been implicated as oncogenic agents (8–11), bacteriophages have the potential to indirectly impact cancer as well. The gut virome therefore has a potential to be associated with, and potentially impact, human cancer. Altere</w:t>
      </w:r>
      <w:r>
        <w:t xml:space="preserve">d human virome composition and diversity have already been identified in diseases including </w:t>
      </w:r>
      <w:r>
        <w:lastRenderedPageBreak/>
        <w:t>periodontal disease (12), HIV (13), cystic fibrosis (14), antibiotic exposure (15, 16), urinary tract infections (17), and inflammatory bowel disease (18). The stro</w:t>
      </w:r>
      <w:r>
        <w:t>ng association of bacterial communities with colorectal cancer, the previous identification of human-specific viruses that cause cancer, and the precedent for the virome to impact other human diseases suggest that colorectal cancer may be associated with a</w:t>
      </w:r>
      <w:r>
        <w:t>ltered virus communities.</w:t>
      </w:r>
    </w:p>
    <w:p w14:paraId="7362A07B" w14:textId="77777777" w:rsidR="002A11F6" w:rsidRDefault="00B07C2D">
      <w:pPr>
        <w:pStyle w:val="BodyText"/>
      </w:pPr>
      <w:r>
        <w:t>Colorectal cancer is the second leading cause of cancer-related deaths in the United States (19). The US National Cancer Institute estimates over 1.5 million Americans were diagnosed with colorectal cancer in 2016 and over 500,000</w:t>
      </w:r>
      <w:r>
        <w:t xml:space="preserve"> Americans died from the disease (19). Growing evidence suggests that an important component of colorectal cancer etiology may be perturbations in the colonic bacterial community (8, 10, 11, 20, 21). Work in this area has led to a proposed disease model in</w:t>
      </w:r>
      <w:r>
        <w:t xml:space="preserve"> which bacteria colonize the colon, develop biofilms, promote inflammation, and enter an oncogenic synergy with the cancerous human cells (22). This association also has allowed researchers to leverage bacterial community signatures as biomarkers to provid</w:t>
      </w:r>
      <w:r>
        <w:t xml:space="preserve">e accurate, noninvasive colorectal cancer detection from stool (8, 23, 24). While an understanding of colorectal cancer bacterial communities has proven fruitful both for disease classification and for identifying the underlying disease etiology, bacteria </w:t>
      </w:r>
      <w:r>
        <w:t xml:space="preserve">are only a subset of the colon microbiome. Viruses are another important component of the colon microbial community that have yet to be studied in the context of colorectal cancer. We evaluated disruptions in virus and bacterial community composition in a </w:t>
      </w:r>
      <w:r>
        <w:t>human cohort whose stool was sampled at the three relevant stages of cancer development: healthy, adenomatous, and cancerous.</w:t>
      </w:r>
    </w:p>
    <w:p w14:paraId="29B384C6" w14:textId="77777777" w:rsidR="002A11F6" w:rsidRDefault="00B07C2D">
      <w:pPr>
        <w:pStyle w:val="BodyText"/>
      </w:pPr>
      <w:r>
        <w:t>Colorectal cancer progresses in a stepwise process that begins when healthy tissue develops into a precancerous polyp (i.e., adeno</w:t>
      </w:r>
      <w:r>
        <w:t>ma) in the large intestine (25). If not removed, the adenoma may develop into a cancerous lesion that can invade and metastasize, leading to severe illness and death. Progression to cancer can be prevented when precancerous adenomas are detected and remove</w:t>
      </w:r>
      <w:r>
        <w:t>d during routine screening (26, 27). Survival for colorectal cancer patients may exceed 90% when the lesions are detected early and removed (26). Thus, work that aims to facilitate early detection and prevention of progression beyond early cancer stages ha</w:t>
      </w:r>
      <w:r>
        <w:t>s great potential to inform therapeutic development.</w:t>
      </w:r>
    </w:p>
    <w:p w14:paraId="66F95D98" w14:textId="77777777" w:rsidR="002A11F6" w:rsidRDefault="00B07C2D">
      <w:pPr>
        <w:pStyle w:val="BodyText"/>
      </w:pPr>
      <w:r>
        <w:t>Here we begin to address the knowledge gap of whether virus community composition is altered in colorectal cancer and, if it is, how those differences might impact cancer progression and severity. We als</w:t>
      </w:r>
      <w:r>
        <w:t xml:space="preserve">o aimed to evaluate the virome's potential for use as a diagnostic biomarker. The implications of this study are threefold. </w:t>
      </w:r>
      <w:r>
        <w:rPr>
          <w:i/>
        </w:rPr>
        <w:t>First</w:t>
      </w:r>
      <w:r>
        <w:t>, this work supports a biological role for the virome in colorectal cancer development and suggests that more than the bacteria</w:t>
      </w:r>
      <w:r>
        <w:t xml:space="preserve">l members of the associated microbial communities are involved in the process. </w:t>
      </w:r>
      <w:r>
        <w:rPr>
          <w:i/>
        </w:rPr>
        <w:t>Second</w:t>
      </w:r>
      <w:r>
        <w:t xml:space="preserve">, we present a supplementary virus-based approach for classification modeling of colorectal cancer using stool samples. </w:t>
      </w:r>
      <w:r>
        <w:rPr>
          <w:i/>
        </w:rPr>
        <w:t>Third</w:t>
      </w:r>
      <w:r>
        <w:t>, we provide initial support for the importanc</w:t>
      </w:r>
      <w:r>
        <w:t>e of studying the virome as a component of the microbiome ecological network, especially in cancer.</w:t>
      </w:r>
    </w:p>
    <w:p w14:paraId="07887CDE" w14:textId="77777777" w:rsidR="002A11F6" w:rsidRDefault="00B07C2D">
      <w:pPr>
        <w:pStyle w:val="Heading1"/>
      </w:pPr>
      <w:bookmarkStart w:id="3" w:name="results"/>
      <w:bookmarkEnd w:id="3"/>
      <w:r>
        <w:lastRenderedPageBreak/>
        <w:t>Results</w:t>
      </w:r>
    </w:p>
    <w:p w14:paraId="1A2B12AA" w14:textId="77777777" w:rsidR="002A11F6" w:rsidRDefault="00B07C2D">
      <w:pPr>
        <w:pStyle w:val="Heading2"/>
      </w:pPr>
      <w:bookmarkStart w:id="4" w:name="sample-collection-and-processing"/>
      <w:bookmarkEnd w:id="4"/>
      <w:r>
        <w:t>Sample Collection and Processing</w:t>
      </w:r>
    </w:p>
    <w:p w14:paraId="0177B836" w14:textId="15EF07E1" w:rsidR="002A11F6" w:rsidRDefault="00B07C2D">
      <w:pPr>
        <w:pStyle w:val="FirstParagraph"/>
      </w:pPr>
      <w:r>
        <w:t xml:space="preserve">Our study cohort consisted of stool samples collected from 90 human subjects, 30 of whom had healthy colons, 30 of </w:t>
      </w:r>
      <w:r>
        <w:t xml:space="preserve">whom had adenomas, and 30 of whom had carcinomas </w:t>
      </w:r>
      <w:r>
        <w:rPr>
          <w:b/>
        </w:rPr>
        <w:t>(Figure 1</w:t>
      </w:r>
      <w:r>
        <w:rPr>
          <w:b/>
        </w:rPr>
        <w:t>)</w:t>
      </w:r>
      <w:r>
        <w:t>. Half of each stool sample was used to sequence the bacterial communities using both 16S rRNA gene and shotgun sequencing techniques. The 16S rRNA gene sequencing was performed for a previous study</w:t>
      </w:r>
      <w:r>
        <w:t>, and the sequences were re-analyzed using contemporary methods (8). The other half of each stool sample was purified for virus like particles (VLPs) before genomic DNA extraction and shotgun metagenomic sequencing. In the VLP purification, cells were disr</w:t>
      </w:r>
      <w:r>
        <w:t xml:space="preserve">upted and extracellular DNA degraded </w:t>
      </w:r>
      <w:r>
        <w:rPr>
          <w:b/>
        </w:rPr>
        <w:t>(Figure 1</w:t>
      </w:r>
      <w:r>
        <w:rPr>
          <w:b/>
        </w:rPr>
        <w:t>)</w:t>
      </w:r>
      <w:r>
        <w:t xml:space="preserve"> to allow the exclusive analysis of viral DNA within virus capsids. In this manner, the </w:t>
      </w:r>
      <w:r>
        <w:rPr>
          <w:i/>
        </w:rPr>
        <w:t>extracellular virome</w:t>
      </w:r>
      <w:r>
        <w:t xml:space="preserve"> of encapsulated viruses was targeted.</w:t>
      </w:r>
    </w:p>
    <w:p w14:paraId="68E2A8C9" w14:textId="5951361F" w:rsidR="002A11F6" w:rsidRDefault="00B07C2D">
      <w:pPr>
        <w:pStyle w:val="BodyText"/>
      </w:pPr>
      <w:r>
        <w:t>Each extraction was performed with a blank buffer control to de</w:t>
      </w:r>
      <w:r>
        <w:t>tect contaminants from reagents or other unintentional sources. Only one of the nine controls contained detectable DNA at a minimal concentration of 0.011 ng/µl, thus providing evidence of the enrichment and purification of VLP genomic DNA over potential c</w:t>
      </w:r>
      <w:r>
        <w:t xml:space="preserve">ontaminants </w:t>
      </w:r>
      <w:r>
        <w:rPr>
          <w:b/>
        </w:rPr>
        <w:t>(Figure S1</w:t>
      </w:r>
      <w:r>
        <w:rPr>
          <w:b/>
        </w:rPr>
        <w:t xml:space="preserve"> A)</w:t>
      </w:r>
      <w:r>
        <w:t xml:space="preserve">. As expected, these controls yielded few sequences and were almost entirely removed while rarefying the datasets to a common number of sequences </w:t>
      </w:r>
      <w:r>
        <w:rPr>
          <w:b/>
        </w:rPr>
        <w:t>(Figure S1</w:t>
      </w:r>
      <w:r>
        <w:rPr>
          <w:b/>
        </w:rPr>
        <w:t xml:space="preserve"> B)</w:t>
      </w:r>
      <w:r>
        <w:t xml:space="preserve">. The high quality phage and bacterial sequences were assembled into highly </w:t>
      </w:r>
      <w:r>
        <w:t xml:space="preserve">covered contigs longer than </w:t>
      </w:r>
      <w:proofErr w:type="gramStart"/>
      <w:r>
        <w:t>1 kb</w:t>
      </w:r>
      <w:proofErr w:type="gramEnd"/>
      <w:r>
        <w:t xml:space="preserve"> </w:t>
      </w:r>
      <w:r>
        <w:rPr>
          <w:b/>
        </w:rPr>
        <w:t>(Figure S2</w:t>
      </w:r>
      <w:r>
        <w:rPr>
          <w:b/>
        </w:rPr>
        <w:t>)</w:t>
      </w:r>
      <w:r>
        <w:t xml:space="preserve">. Because contigs represent genome fragments, we further clustered related bacterial contigs into operational genomic units (OGUs) and viral contigs into operational viral units (OVUs) </w:t>
      </w:r>
      <w:r>
        <w:rPr>
          <w:b/>
        </w:rPr>
        <w:t>(Figure S2</w:t>
      </w:r>
      <w:r>
        <w:rPr>
          <w:b/>
        </w:rPr>
        <w:t xml:space="preserve"> –</w:t>
      </w:r>
      <w:r>
        <w:rPr>
          <w:b/>
        </w:rPr>
        <w:t xml:space="preserve"> S3</w:t>
      </w:r>
      <w:r>
        <w:rPr>
          <w:b/>
        </w:rPr>
        <w:t>)</w:t>
      </w:r>
      <w:r>
        <w:t xml:space="preserve"> to approximate o</w:t>
      </w:r>
      <w:r>
        <w:t>rganismal units.</w:t>
      </w:r>
    </w:p>
    <w:p w14:paraId="5A721790" w14:textId="77777777" w:rsidR="002A11F6" w:rsidRDefault="00B07C2D">
      <w:pPr>
        <w:pStyle w:val="Heading2"/>
      </w:pPr>
      <w:bookmarkStart w:id="5" w:name="unaltered-diversity-in-colorectal-cancer"/>
      <w:bookmarkEnd w:id="5"/>
      <w:r>
        <w:t>Unaltered Diversity in Colorectal Cancer</w:t>
      </w:r>
    </w:p>
    <w:p w14:paraId="65FECDDF" w14:textId="75522D7A" w:rsidR="002A11F6" w:rsidRDefault="00B07C2D">
      <w:pPr>
        <w:pStyle w:val="FirstParagraph"/>
      </w:pPr>
      <w:r>
        <w:t>Microbiome and disease associations are often described as being of an altered diversity (i.e. "dysbiotic"). Therefore, we first evaluated the influence of colorectal cancer on virome OVU diversity.</w:t>
      </w:r>
      <w:r>
        <w:t xml:space="preserve"> We evaluated differences in communities between disease states using the Shannon diversity, richness, and Bray-Curtis metrics. We observed no significant alterations in either Shannon diversity or richness in the diseased states as compared to the healthy</w:t>
      </w:r>
      <w:r>
        <w:t xml:space="preserve"> state </w:t>
      </w:r>
      <w:r>
        <w:rPr>
          <w:b/>
        </w:rPr>
        <w:t>(Figure S4</w:t>
      </w:r>
      <w:r>
        <w:rPr>
          <w:b/>
        </w:rPr>
        <w:t xml:space="preserve"> C-D)</w:t>
      </w:r>
      <w:r>
        <w:t xml:space="preserve">. There was no statistically significant clustering of the disease groups (ANOSIM p-value = 0.6, </w:t>
      </w:r>
      <w:r>
        <w:rPr>
          <w:b/>
        </w:rPr>
        <w:t>Figure S4</w:t>
      </w:r>
      <w:r>
        <w:t>). Notably, there was a significant difference between the few blank controls that remained after rarefying the data and the other s</w:t>
      </w:r>
      <w:r>
        <w:t xml:space="preserve">tudy groups (ANOSIM p-value &lt; 0.001, </w:t>
      </w:r>
      <w:r>
        <w:rPr>
          <w:b/>
        </w:rPr>
        <w:t>Figure S5</w:t>
      </w:r>
      <w:r>
        <w:rPr>
          <w:b/>
        </w:rPr>
        <w:t>)</w:t>
      </w:r>
      <w:r>
        <w:t xml:space="preserve">, further supporting the quality of the sample set. In summary, standard alpha and beta diversity metrics were insufficient for capturing virus community differences between disease states </w:t>
      </w:r>
      <w:r>
        <w:rPr>
          <w:b/>
        </w:rPr>
        <w:t>(Figure S4</w:t>
      </w:r>
      <w:r>
        <w:rPr>
          <w:b/>
        </w:rPr>
        <w:t>)</w:t>
      </w:r>
      <w:r>
        <w:t>. This is con</w:t>
      </w:r>
      <w:r>
        <w:t>sistent with what has been observed when the same metrics were applied to 16S rRNA gene sequences and metagenomic samples (8, 23, 24) and points to the need for alternate approaches to detect the impact of colorectal cancer disease state on these community</w:t>
      </w:r>
      <w:r>
        <w:t xml:space="preserve"> structures.</w:t>
      </w:r>
    </w:p>
    <w:p w14:paraId="7B2CC6B0" w14:textId="77777777" w:rsidR="002A11F6" w:rsidRDefault="00B07C2D">
      <w:pPr>
        <w:pStyle w:val="Heading2"/>
      </w:pPr>
      <w:bookmarkStart w:id="6" w:name="virome-composition-in-colorectal-cancer"/>
      <w:bookmarkEnd w:id="6"/>
      <w:r>
        <w:lastRenderedPageBreak/>
        <w:t>Virome Composition in Colorectal Cancer</w:t>
      </w:r>
    </w:p>
    <w:p w14:paraId="7FCF569A" w14:textId="77777777" w:rsidR="002A11F6" w:rsidRDefault="00B07C2D">
      <w:pPr>
        <w:pStyle w:val="FirstParagraph"/>
      </w:pPr>
      <w:r>
        <w:t>As opposed to the diversity metrics discussed above, OTU-based relative abundance profiles generated from 16S rRNA gene sequences are effective for classifying stool samples as originating from individua</w:t>
      </w:r>
      <w:r>
        <w:t>ls with healthy, adenomatous, or cancerous colons (8, 23). By using classification models instead of attempting to identify single differentially abundant OTUs, these and other studies have been successful in capturing complex community relationships in wh</w:t>
      </w:r>
      <w:r>
        <w:t>ich differences in taxonomic relative abundance are considered in the context of other taxa. The exceptional performance of bacteria in these classification models supports a role for bacterial functionality in colorectal cancer. We built off of these find</w:t>
      </w:r>
      <w:r>
        <w:t>ings by evaluating the ability of virus community signatures to classify stool samples and compared their performance to models built using bacterial community signatures.</w:t>
      </w:r>
    </w:p>
    <w:p w14:paraId="503A5E23" w14:textId="13088D3B" w:rsidR="002A11F6" w:rsidRDefault="00B07C2D">
      <w:pPr>
        <w:pStyle w:val="BodyText"/>
      </w:pPr>
      <w:r>
        <w:t>To identify the altered virus communities associated with colorectal cancer, we buil</w:t>
      </w:r>
      <w:r>
        <w:t>t and tested random forest models for classifying stool samples as belonging to individuals with either cancerous or healthy colons. We confirmed that our bacterial 16S rRNA gene model replicated the performance of the original report which used logit mode</w:t>
      </w:r>
      <w:r>
        <w:t xml:space="preserve">ls instead of random forest models </w:t>
      </w:r>
      <w:r>
        <w:rPr>
          <w:b/>
        </w:rPr>
        <w:t>(Figure 2</w:t>
      </w:r>
      <w:r>
        <w:rPr>
          <w:b/>
        </w:rPr>
        <w:t xml:space="preserve"> A)</w:t>
      </w:r>
      <w:r>
        <w:t xml:space="preserve"> (8). We then compared the bacterial OTU model to a model built using OVU relative abundances. The viral model performed as well as the bacterial model (corrected p-value = 0.4), with the viral and bacterial mo</w:t>
      </w:r>
      <w:r>
        <w:t xml:space="preserve">dels achieving mean area under the curve (AUC) values of 0.792 and 0.809, respectively </w:t>
      </w:r>
      <w:r>
        <w:rPr>
          <w:b/>
        </w:rPr>
        <w:t>(Figure 2</w:t>
      </w:r>
      <w:r>
        <w:rPr>
          <w:b/>
        </w:rPr>
        <w:t xml:space="preserve"> A - B)</w:t>
      </w:r>
      <w:r>
        <w:t>. To evaluate the ability of both bacterial and viral biomarkers to classify samples, we built a combined model that used both bacterial and viral communi</w:t>
      </w:r>
      <w:r>
        <w:t xml:space="preserve">ty data. The combined model did not yield a statistically significant performance improvement beyond the viral (corrected p-value = 0.4) and bacterial (corrected p-value = 0.08) models, yielding an AUC of 0.768 </w:t>
      </w:r>
      <w:r>
        <w:rPr>
          <w:b/>
        </w:rPr>
        <w:t>(Figure 2</w:t>
      </w:r>
      <w:r>
        <w:rPr>
          <w:b/>
        </w:rPr>
        <w:t xml:space="preserve"> A - B)</w:t>
      </w:r>
      <w:r>
        <w:t>.</w:t>
      </w:r>
    </w:p>
    <w:p w14:paraId="6A3A38DB" w14:textId="64B91FD1" w:rsidR="002A11F6" w:rsidRDefault="00B07C2D">
      <w:pPr>
        <w:pStyle w:val="BodyText"/>
      </w:pPr>
      <w:r>
        <w:t>We compared viral metagenomi</w:t>
      </w:r>
      <w:r>
        <w:t xml:space="preserve">c methods to bacterial metagenomic methods by building a viral model and a model built using OGU relative abundance profiles from bacterial metagenomic shotgun sequencing data. This bacterial model performed worse than the other models (mean AUC = 0.474) </w:t>
      </w:r>
      <w:r>
        <w:rPr>
          <w:b/>
        </w:rPr>
        <w:t>(</w:t>
      </w:r>
      <w:r>
        <w:rPr>
          <w:b/>
        </w:rPr>
        <w:t>Figure 2</w:t>
      </w:r>
      <w:r>
        <w:rPr>
          <w:b/>
        </w:rPr>
        <w:t xml:space="preserve"> A - B)</w:t>
      </w:r>
      <w:r>
        <w:t xml:space="preserve">. To determine the cause of the discrepancy between the two bacterial sequencing methods, we attempted to compare the approaches at a common sequencing depth. This revealed that the bacterial 16S rRNA gene model was strongly driven by sparse </w:t>
      </w:r>
      <w:r>
        <w:t xml:space="preserve">and low abundance OTUs </w:t>
      </w:r>
      <w:r>
        <w:rPr>
          <w:b/>
        </w:rPr>
        <w:t>(Figure S6</w:t>
      </w:r>
      <w:r>
        <w:rPr>
          <w:b/>
        </w:rPr>
        <w:t>)</w:t>
      </w:r>
      <w:r>
        <w:t xml:space="preserve">. Removal of OTUs with a median abundance of zero resulted in the removal of six OTUs, and a loss of model performance down to what was observed in the metagenome-based model </w:t>
      </w:r>
      <w:r>
        <w:rPr>
          <w:b/>
        </w:rPr>
        <w:t>(Figure S6</w:t>
      </w:r>
      <w:r>
        <w:rPr>
          <w:b/>
        </w:rPr>
        <w:t xml:space="preserve"> A)</w:t>
      </w:r>
      <w:r>
        <w:t>. The majority of these OTUs had a rel</w:t>
      </w:r>
      <w:r>
        <w:t xml:space="preserve">ative abundance lower than 1% across the samples </w:t>
      </w:r>
      <w:r>
        <w:rPr>
          <w:b/>
        </w:rPr>
        <w:t>(Figure S6</w:t>
      </w:r>
      <w:r>
        <w:rPr>
          <w:b/>
        </w:rPr>
        <w:t xml:space="preserve"> B)</w:t>
      </w:r>
      <w:r>
        <w:t xml:space="preserve">. Although the features in the viral model also were of low abundance </w:t>
      </w:r>
      <w:r>
        <w:rPr>
          <w:b/>
        </w:rPr>
        <w:t>(Figure S8</w:t>
      </w:r>
      <w:r>
        <w:rPr>
          <w:b/>
        </w:rPr>
        <w:t xml:space="preserve"> F)</w:t>
      </w:r>
      <w:r>
        <w:t>, the coverage was sufficient for high model performance, likely because viral genomes are orders of magnitude smal</w:t>
      </w:r>
      <w:r>
        <w:t>ler than bacterial genomes.</w:t>
      </w:r>
    </w:p>
    <w:p w14:paraId="56A42916" w14:textId="06427F0C" w:rsidR="002A11F6" w:rsidRDefault="00B07C2D">
      <w:pPr>
        <w:pStyle w:val="BodyText"/>
      </w:pPr>
      <w:r>
        <w:t xml:space="preserve">The association between the bacterial and viral communities and colorectal cancer was driven by a few important microbes. </w:t>
      </w:r>
      <w:r>
        <w:rPr>
          <w:i/>
        </w:rPr>
        <w:t>Fusobacterium</w:t>
      </w:r>
      <w:r>
        <w:t xml:space="preserve"> was the primary driver of the bacterial association with colorectal cancer, which is consist</w:t>
      </w:r>
      <w:r>
        <w:t xml:space="preserve">ent with its </w:t>
      </w:r>
      <w:r>
        <w:lastRenderedPageBreak/>
        <w:t xml:space="preserve">previously described oncogenic potential </w:t>
      </w:r>
      <w:r>
        <w:rPr>
          <w:b/>
        </w:rPr>
        <w:t>(Figure 2</w:t>
      </w:r>
      <w:r>
        <w:rPr>
          <w:b/>
        </w:rPr>
        <w:t xml:space="preserve"> C)</w:t>
      </w:r>
      <w:r>
        <w:t xml:space="preserve">(22). The virome signature also was driven by a few OVUs, suggesting a role for these viruses in tumorigenesis </w:t>
      </w:r>
      <w:r>
        <w:rPr>
          <w:b/>
        </w:rPr>
        <w:t>(Figure 2</w:t>
      </w:r>
      <w:r>
        <w:rPr>
          <w:b/>
        </w:rPr>
        <w:t xml:space="preserve"> D)</w:t>
      </w:r>
      <w:r>
        <w:t>. It is also important to note that while these viruses were driving the signature, the magnitude of their importance and the significance of those values was noticibly less than the bacterial 16S signature, suggesting that unlike what is observed in the b</w:t>
      </w:r>
      <w:r>
        <w:t xml:space="preserve">acteria, there are many viruses that are associated with the cancerous state. The identified viruses were bacteriophages, belonging to </w:t>
      </w:r>
      <w:r>
        <w:rPr>
          <w:i/>
        </w:rPr>
        <w:t>Siphoviridae</w:t>
      </w:r>
      <w:r>
        <w:t xml:space="preserve">, </w:t>
      </w:r>
      <w:r>
        <w:rPr>
          <w:i/>
        </w:rPr>
        <w:t>Myoviridae</w:t>
      </w:r>
      <w:r>
        <w:t>, and phage taxa that could not be confidently identified beyond their broad phage identification</w:t>
      </w:r>
      <w:r>
        <w:t xml:space="preserve"> (i.e. "unclassified"). Many of the important viruses, that were confirmed to not have genomic similarity to known bacterial genomes, were unidentifiable (denoted "unknown"). This is common in viromes across habitats; studies have reported as much as 95% o</w:t>
      </w:r>
      <w:r>
        <w:t xml:space="preserve">f virus sequences belonging to unknown genomic units (14, 28–30). When the bacterial and viral community signatures were combined, both bacterial and viral organisms drove the community association with cancer </w:t>
      </w:r>
      <w:r>
        <w:rPr>
          <w:b/>
        </w:rPr>
        <w:t>(Figure 2</w:t>
      </w:r>
      <w:r>
        <w:rPr>
          <w:b/>
        </w:rPr>
        <w:t xml:space="preserve"> E)</w:t>
      </w:r>
      <w:r>
        <w:t>.</w:t>
      </w:r>
    </w:p>
    <w:p w14:paraId="72C910AC" w14:textId="77777777" w:rsidR="002A11F6" w:rsidRDefault="00B07C2D">
      <w:pPr>
        <w:pStyle w:val="Heading2"/>
      </w:pPr>
      <w:bookmarkStart w:id="7" w:name="phage-influence-between-crc-stages"/>
      <w:bookmarkEnd w:id="7"/>
      <w:r>
        <w:t>Phage Influence Between CRC Stage</w:t>
      </w:r>
      <w:r>
        <w:t>s</w:t>
      </w:r>
    </w:p>
    <w:p w14:paraId="269194F7" w14:textId="0D05B65E" w:rsidR="002A11F6" w:rsidRDefault="00B07C2D">
      <w:pPr>
        <w:pStyle w:val="FirstParagraph"/>
      </w:pPr>
      <w:r>
        <w:t>Because previous work has identified shifts in which bacteria were most important at different stages of colorectal cancer (8, 20, 22), we explored whether shifts in the relative influence of phages could be detected between healthy, adenomatous, and can</w:t>
      </w:r>
      <w:r>
        <w:t>cerous colons. We evaluated community shifts between the disease stage transitions (healthy to adenomatous and adenomatous to cancerous) by building random forest models to compare only the diagnosis groups around the transitions. While bacterial OTU model</w:t>
      </w:r>
      <w:r>
        <w:t xml:space="preserve">s performed equally well for all disease class comparisons, the virome model performances differed </w:t>
      </w:r>
      <w:r>
        <w:rPr>
          <w:b/>
        </w:rPr>
        <w:t>(Figure S7</w:t>
      </w:r>
      <w:r>
        <w:rPr>
          <w:b/>
        </w:rPr>
        <w:t xml:space="preserve"> A-B)</w:t>
      </w:r>
      <w:r>
        <w:t xml:space="preserve">. Like bacteria </w:t>
      </w:r>
      <w:r>
        <w:rPr>
          <w:b/>
        </w:rPr>
        <w:t>(Figure S7</w:t>
      </w:r>
      <w:r>
        <w:rPr>
          <w:b/>
        </w:rPr>
        <w:t xml:space="preserve"> F-H)</w:t>
      </w:r>
      <w:r>
        <w:t xml:space="preserve">, different virome members were important between the healthy to adenomatous and adenomatous to cancerous stages </w:t>
      </w:r>
      <w:r>
        <w:rPr>
          <w:b/>
        </w:rPr>
        <w:t>(F</w:t>
      </w:r>
      <w:r>
        <w:rPr>
          <w:b/>
        </w:rPr>
        <w:t>igure S7</w:t>
      </w:r>
      <w:r>
        <w:rPr>
          <w:b/>
        </w:rPr>
        <w:t xml:space="preserve"> C-E)</w:t>
      </w:r>
      <w:r>
        <w:t>.</w:t>
      </w:r>
    </w:p>
    <w:p w14:paraId="3A0C9296" w14:textId="4D507C6B" w:rsidR="002A11F6" w:rsidRDefault="00B07C2D">
      <w:pPr>
        <w:pStyle w:val="BodyText"/>
      </w:pPr>
      <w:r>
        <w:t xml:space="preserve">After evaluating our ability to classify samples between two disease states, we performed a three-class random forest model including all disease states. The 16S rRNA gene model yielded a mean AUC of 0.765 and outperformed the viral community </w:t>
      </w:r>
      <w:r>
        <w:t xml:space="preserve">model, which yielded a mean AUC of 0.658 (p-value &lt; 0.001, </w:t>
      </w:r>
      <w:r>
        <w:rPr>
          <w:b/>
        </w:rPr>
        <w:t>Figure S8</w:t>
      </w:r>
      <w:r>
        <w:rPr>
          <w:b/>
        </w:rPr>
        <w:t xml:space="preserve"> A-C</w:t>
      </w:r>
      <w:r>
        <w:t xml:space="preserve">). The microbes important for the healthy versus cancer and healthy versus adenoma models were also important for the three-class model </w:t>
      </w:r>
      <w:r>
        <w:rPr>
          <w:b/>
        </w:rPr>
        <w:t>(Figure</w:t>
      </w:r>
      <w:r>
        <w:rPr>
          <w:b/>
        </w:rPr>
        <w:t xml:space="preserve"> S8</w:t>
      </w:r>
      <w:r>
        <w:rPr>
          <w:b/>
        </w:rPr>
        <w:t xml:space="preserve"> D-E)</w:t>
      </w:r>
      <w:r>
        <w:t>. The most important bacterium in the</w:t>
      </w:r>
      <w:r>
        <w:t xml:space="preserve"> two and three class models was the same </w:t>
      </w:r>
      <w:r>
        <w:rPr>
          <w:i/>
        </w:rPr>
        <w:t>Fusobacterium</w:t>
      </w:r>
      <w:r>
        <w:t xml:space="preserve"> (OTU 4) </w:t>
      </w:r>
      <w:r>
        <w:rPr>
          <w:b/>
        </w:rPr>
        <w:t>(Figure 2</w:t>
      </w:r>
      <w:r>
        <w:rPr>
          <w:b/>
        </w:rPr>
        <w:t xml:space="preserve"> C, Figure S8</w:t>
      </w:r>
      <w:r>
        <w:rPr>
          <w:b/>
        </w:rPr>
        <w:t xml:space="preserve"> D)</w:t>
      </w:r>
      <w:r>
        <w:t xml:space="preserve">. The viruses most important to the three-class model were identified as bacteriophages </w:t>
      </w:r>
      <w:r>
        <w:rPr>
          <w:b/>
        </w:rPr>
        <w:t>(Figure 2</w:t>
      </w:r>
      <w:r>
        <w:rPr>
          <w:b/>
        </w:rPr>
        <w:t xml:space="preserve"> D, Figure S8</w:t>
      </w:r>
      <w:r>
        <w:rPr>
          <w:b/>
        </w:rPr>
        <w:t xml:space="preserve"> E)</w:t>
      </w:r>
      <w:r>
        <w:t xml:space="preserve">, but not </w:t>
      </w:r>
      <w:proofErr w:type="gramStart"/>
      <w:r>
        <w:t>all important</w:t>
      </w:r>
      <w:proofErr w:type="gramEnd"/>
      <w:r>
        <w:t xml:space="preserve"> OVUs were of increased abundance in t</w:t>
      </w:r>
      <w:r>
        <w:t xml:space="preserve">he diseased state </w:t>
      </w:r>
      <w:r>
        <w:rPr>
          <w:b/>
        </w:rPr>
        <w:t>(Figure S8</w:t>
      </w:r>
      <w:r>
        <w:rPr>
          <w:b/>
        </w:rPr>
        <w:t xml:space="preserve"> F)</w:t>
      </w:r>
      <w:r>
        <w:t>.</w:t>
      </w:r>
    </w:p>
    <w:p w14:paraId="0F604994" w14:textId="77777777" w:rsidR="002A11F6" w:rsidRDefault="00B07C2D">
      <w:pPr>
        <w:pStyle w:val="Heading2"/>
      </w:pPr>
      <w:bookmarkStart w:id="8" w:name="phage-dominance-in-crc-virome"/>
      <w:bookmarkEnd w:id="8"/>
      <w:r>
        <w:t>Phage Dominance in CRC Virome</w:t>
      </w:r>
    </w:p>
    <w:p w14:paraId="7BF3785F" w14:textId="23C1E4D2" w:rsidR="002A11F6" w:rsidRDefault="00B07C2D">
      <w:pPr>
        <w:pStyle w:val="FirstParagraph"/>
      </w:pPr>
      <w:r>
        <w:t xml:space="preserve">Differences in the colorectal cancer virome could have been driven by eukaryotic (human) viruses or by bacteriophages. To better understand the types of viruses that were important for colorectal cancer, we identified the virome OVUs as being </w:t>
      </w:r>
      <w:r>
        <w:lastRenderedPageBreak/>
        <w:t>similar to ei</w:t>
      </w:r>
      <w:r>
        <w:t>ther eukaryotic viruses or bacteriophages. The most important viruses to the classification model were identified as bacteriophages (</w:t>
      </w:r>
      <w:r>
        <w:rPr>
          <w:b/>
        </w:rPr>
        <w:t>Figure S8</w:t>
      </w:r>
      <w:r>
        <w:rPr>
          <w:b/>
        </w:rPr>
        <w:t>)</w:t>
      </w:r>
      <w:r>
        <w:t>. Overall, we were able to identify 78.8% of the OVUs as known viruses, and 93.8% of those viral OVUs aligned to ba</w:t>
      </w:r>
      <w:r>
        <w:t>cteriophage reference genomes. It is important to note that this could have been influenced by our methodological biases against enveloped viruses (more common of eukaryotic viruses than bacteriophage), due to chloroform and DNase treatment for purificatio</w:t>
      </w:r>
      <w:r>
        <w:t>n.</w:t>
      </w:r>
    </w:p>
    <w:p w14:paraId="465DCAE6" w14:textId="60741EDC" w:rsidR="002A11F6" w:rsidRDefault="00B07C2D">
      <w:pPr>
        <w:pStyle w:val="BodyText"/>
      </w:pPr>
      <w:r>
        <w:t xml:space="preserve">We evaluated whether the phages in the community were primarily lytic (i.e. obligately lyse their hosts after replication) or temperate (i.e. able to integrate into their host's genome to form a lysogen, and subsequently transition to a lytic mode). We </w:t>
      </w:r>
      <w:r>
        <w:t>accomplished this by identifying three markers for temperate phages in the OVU representative sequences: 1) presence of phage integrase genes, 2) presence of known prophage genes, according the the ACLAME (A CLAssification of Mobile genetic Elements) datab</w:t>
      </w:r>
      <w:r>
        <w:t>ase, and 3) nucleotide similarity to regions of bacterial genomes (29, 31, 32). We found that the majority of the phages were temperate and that the overall fraction of temperate phages remained consistent throughout the healthy, adenomatous, and cancerous</w:t>
      </w:r>
      <w:r>
        <w:t xml:space="preserve"> stages </w:t>
      </w:r>
      <w:r>
        <w:rPr>
          <w:b/>
        </w:rPr>
        <w:t>(Figure 3</w:t>
      </w:r>
      <w:r>
        <w:rPr>
          <w:b/>
        </w:rPr>
        <w:t>)</w:t>
      </w:r>
      <w:r>
        <w:t>. These findings were consistent with previous reports suggesting the gut virome is primarily composed of temperate phages (13, 18, 31, 33).</w:t>
      </w:r>
    </w:p>
    <w:p w14:paraId="173DB319" w14:textId="77777777" w:rsidR="002A11F6" w:rsidRDefault="00B07C2D">
      <w:pPr>
        <w:pStyle w:val="Heading2"/>
      </w:pPr>
      <w:bookmarkStart w:id="9" w:name="community-context-of-influential-phages"/>
      <w:bookmarkEnd w:id="9"/>
      <w:r>
        <w:t>Community Context of Influential Phages</w:t>
      </w:r>
    </w:p>
    <w:p w14:paraId="350C7BE2" w14:textId="201DBA64" w:rsidR="002A11F6" w:rsidRDefault="00B07C2D">
      <w:pPr>
        <w:pStyle w:val="FirstParagraph"/>
      </w:pPr>
      <w:r>
        <w:t xml:space="preserve">Because the link between colorectal cancer and the virome </w:t>
      </w:r>
      <w:r>
        <w:t>was driven by bacteriophages (as opposed to non-bacterial viruses), we tested a potential hypothesis that the virome signal was a mere reflection of the bacterial signal, and thus highly correlated with the bacterial signal. If this hypothesis were true, w</w:t>
      </w:r>
      <w:r>
        <w:t xml:space="preserve">e would expect a correlation between the relative abundances of influential bacterial OTUs and virome OVUs. Instead, we observed a strikingly low correlation between bacterial and viral relative abundances </w:t>
      </w:r>
      <w:r>
        <w:rPr>
          <w:b/>
        </w:rPr>
        <w:t>(Figure 4</w:t>
      </w:r>
      <w:r>
        <w:rPr>
          <w:b/>
        </w:rPr>
        <w:t xml:space="preserve"> A</w:t>
      </w:r>
      <w:proofErr w:type="gramStart"/>
      <w:r>
        <w:rPr>
          <w:b/>
        </w:rPr>
        <w:t>,C</w:t>
      </w:r>
      <w:proofErr w:type="gramEnd"/>
      <w:r>
        <w:rPr>
          <w:b/>
        </w:rPr>
        <w:t>)</w:t>
      </w:r>
      <w:r>
        <w:t>. Overall, there was an absence of co</w:t>
      </w:r>
      <w:r>
        <w:t xml:space="preserve">rrelation between the most influential OVUs and bacterial OTUs </w:t>
      </w:r>
      <w:r>
        <w:rPr>
          <w:b/>
        </w:rPr>
        <w:t>(Figure 4</w:t>
      </w:r>
      <w:r>
        <w:rPr>
          <w:b/>
        </w:rPr>
        <w:t xml:space="preserve"> B)</w:t>
      </w:r>
      <w:r>
        <w:t>. This evidence supported our null hypothesis that the influential viral OVUs were not primarily reflections of influential bacteria.</w:t>
      </w:r>
    </w:p>
    <w:p w14:paraId="3AF9509D" w14:textId="042D1BDA" w:rsidR="002A11F6" w:rsidRDefault="00B07C2D">
      <w:pPr>
        <w:pStyle w:val="BodyText"/>
      </w:pPr>
      <w:r>
        <w:t>Given these findings, we posited that the most i</w:t>
      </w:r>
      <w:r>
        <w:t>nfluential phages were acting by infecting a wide range of bacteria in the overall community, instead of just the influential bacteria. In other words, we hypothesized that the influential bacteriophages were community hubs (i.e. central members) within th</w:t>
      </w:r>
      <w:r>
        <w:t xml:space="preserve">e bacteria and phage interactive network. We investigated the potential host ranges of all phage OVUs using a previously developed random forest model that relies on sequence features to predict which phages infected which bacteria in the community </w:t>
      </w:r>
      <w:r>
        <w:rPr>
          <w:b/>
        </w:rPr>
        <w:t>(Figure</w:t>
      </w:r>
      <w:r>
        <w:rPr>
          <w:b/>
        </w:rPr>
        <w:t xml:space="preserve"> 5</w:t>
      </w:r>
      <w:r>
        <w:rPr>
          <w:b/>
        </w:rPr>
        <w:t xml:space="preserve"> A)</w:t>
      </w:r>
      <w:r>
        <w:t xml:space="preserve"> (34). The predicted interactions were then used to identify phage community hubs. We calculated the alpha centrality (i.e. measure of importance in the ecological network) of each phage OVU's connection to the rest of the network. The phages with high</w:t>
      </w:r>
      <w:r>
        <w:t xml:space="preserve"> centrality values were defined as community hubs. Next, the centrality of each OVU was compared to its importance in the colorectal cancer classification model. Phage OVU centrality was significantly and </w:t>
      </w:r>
      <w:r>
        <w:lastRenderedPageBreak/>
        <w:t>positively correlated with importance to the diseas</w:t>
      </w:r>
      <w:r>
        <w:t xml:space="preserve">e model (p-value = 0.004, R = 0.176), suggesting that phages that were important in driving colorectal cancer also were more likely to be community hubs </w:t>
      </w:r>
      <w:r>
        <w:rPr>
          <w:b/>
        </w:rPr>
        <w:t>(Figure 5</w:t>
      </w:r>
      <w:r>
        <w:rPr>
          <w:b/>
        </w:rPr>
        <w:t xml:space="preserve"> B)</w:t>
      </w:r>
      <w:r>
        <w:t xml:space="preserve">. Together these findings supported our hypothesis that influential phages were hubs within </w:t>
      </w:r>
      <w:r>
        <w:t>their microbial communities and had broad host ranges.</w:t>
      </w:r>
    </w:p>
    <w:p w14:paraId="099663C4" w14:textId="77777777" w:rsidR="002A11F6" w:rsidRDefault="00B07C2D">
      <w:pPr>
        <w:pStyle w:val="Heading1"/>
      </w:pPr>
      <w:bookmarkStart w:id="10" w:name="discussion"/>
      <w:bookmarkEnd w:id="10"/>
      <w:r>
        <w:t>Discussion</w:t>
      </w:r>
    </w:p>
    <w:p w14:paraId="697E09AD" w14:textId="77777777" w:rsidR="002A11F6" w:rsidRDefault="00B07C2D">
      <w:pPr>
        <w:pStyle w:val="FirstParagraph"/>
      </w:pPr>
      <w:r>
        <w:t>Because of their propensity for mutagenesis and capacity for modulating their host functionality, many human viruses are oncogenic (1–4). Some bacteria also have oncogenic properties, sugges</w:t>
      </w:r>
      <w:r>
        <w:t xml:space="preserve">ting that bacteriophages, a component of the human virome in addition to human-specific viruses, may play an indirect role in promoting carcinogenesis by influencing bacterial community composition and dynamics (8–10). Despite their carcinogenic potential </w:t>
      </w:r>
      <w:r>
        <w:t>and the strong association between bacteria and colorectal cancer, a link between virus colorectal communities and colorectal cancer has yet to be evaluated. Here we show that, like colonic bacterial communities, the colon virome was altered in patients wi</w:t>
      </w:r>
      <w:r>
        <w:t>th colorectal cancer relative to those with healthy colons. Our findings support a working hypothesis for oncogenesis by phage-modulated bacterial community composition.</w:t>
      </w:r>
    </w:p>
    <w:p w14:paraId="234629E3" w14:textId="6E6DC27C" w:rsidR="002A11F6" w:rsidRDefault="00B07C2D">
      <w:pPr>
        <w:pStyle w:val="BodyText"/>
      </w:pPr>
      <w:r>
        <w:t>Based on our findings, we have developed a conceptual model to be tested in our future</w:t>
      </w:r>
      <w:r>
        <w:t xml:space="preserve"> studies aimed at elucidating the role the colonic virome plays in colorectal cancer </w:t>
      </w:r>
      <w:r>
        <w:rPr>
          <w:b/>
        </w:rPr>
        <w:t>(Figure 6</w:t>
      </w:r>
      <w:r>
        <w:rPr>
          <w:b/>
        </w:rPr>
        <w:t xml:space="preserve"> A)</w:t>
      </w:r>
      <w:r>
        <w:t>. We found that basic diversity metrics of alpha diversity (richness and Shannon diversity) and beta diversity (Bray-Curtis dissimilarity) were insufficient for</w:t>
      </w:r>
      <w:r>
        <w:t xml:space="preserve"> identifying virome community differences between healthy and cancerous states. By implementing a machine learning approach (random forest classification) to leverage inherent, complex patterns not detected by diversity measures, we were able to detect str</w:t>
      </w:r>
      <w:r>
        <w:t>ong associations between the colon virus community composition and colorectal cancer. The dsDNA virome of colorectal cancer was composed primarily of bacteriophages. These phage communities were not exclusively predators of the most influential bacteria, a</w:t>
      </w:r>
      <w:r>
        <w:t>s demonstrated by the lack of correlation between the abundances of the bacterial and phage populations. Instead, we identified influential phages as being community hubs, suggesting phages influence cancer by altering the greater bacterial community inste</w:t>
      </w:r>
      <w:r>
        <w:t>ad of directly modulating the influential bacteria. Our previous work has shown that modifying colon bacterial communities alters colorectal cancer progression and tumor burden in mice (10, 20). This provides a precedent for phages indirectly influencing c</w:t>
      </w:r>
      <w:r>
        <w:t>olorectal cancer progression by altering the bacterial community composition. Overall, our data support a model in which the bacteriophage community modulates the bacterial community, and through those interactions indirectly influences the bacteria drivin</w:t>
      </w:r>
      <w:r>
        <w:t xml:space="preserve">g colorectal cancer progression </w:t>
      </w:r>
      <w:r>
        <w:rPr>
          <w:b/>
        </w:rPr>
        <w:t>(Figure 6</w:t>
      </w:r>
      <w:r>
        <w:rPr>
          <w:b/>
        </w:rPr>
        <w:t xml:space="preserve"> A)</w:t>
      </w:r>
      <w:r>
        <w:t>. Although our evidence suggested phages indirectly influenced colorectal cancer development, we were not able to rule out the role of phages directly interacting with the human host (35, 36).</w:t>
      </w:r>
    </w:p>
    <w:p w14:paraId="55C19C7D" w14:textId="03CAF793" w:rsidR="002A11F6" w:rsidRDefault="00B07C2D">
      <w:pPr>
        <w:pStyle w:val="BodyText"/>
      </w:pPr>
      <w:r>
        <w:lastRenderedPageBreak/>
        <w:t>In addition to model</w:t>
      </w:r>
      <w:r>
        <w:t xml:space="preserve">ing the potential connections between virus communities, bacterial communities, and colorectal cancer, we also used our data and existing knowledge of phage biology to develop a working hypothesis for the mechanisms by which this may occur. </w:t>
      </w:r>
      <w:proofErr w:type="gramStart"/>
      <w:r>
        <w:t>This was done b</w:t>
      </w:r>
      <w:r>
        <w:t>y incorporating our findings into a current model for colorectal cancer development</w:t>
      </w:r>
      <w:proofErr w:type="gramEnd"/>
      <w:r>
        <w:t xml:space="preserve"> </w:t>
      </w:r>
      <w:r>
        <w:rPr>
          <w:b/>
        </w:rPr>
        <w:t>(Figure 6</w:t>
      </w:r>
      <w:r>
        <w:rPr>
          <w:b/>
        </w:rPr>
        <w:t xml:space="preserve"> B)</w:t>
      </w:r>
      <w:r>
        <w:t xml:space="preserve"> (22), although it is important to note that there are also many other alternative hypotheses by which the system could be operating. We hypothesize that the pro</w:t>
      </w:r>
      <w:r>
        <w:t xml:space="preserve">cess begins with broadly infectious phages in the colon lysing, and thereby disrupting, the existing bacterial communities. This shift opens novel niche space that enabled opportunistic bacteria (such as </w:t>
      </w:r>
      <w:r>
        <w:rPr>
          <w:i/>
        </w:rPr>
        <w:t>Fusobacterium nucleatum</w:t>
      </w:r>
      <w:r>
        <w:t>) to colonize. Once the initi</w:t>
      </w:r>
      <w:r>
        <w:t>al influential founder bacteria establish themselves in the epithelium, secondary opportunistic bacteria are able to adhere to the founders, colonize, and establish a biofilm. Phages may play a role in biofilm dispersal and growth by lysing bacteria within</w:t>
      </w:r>
      <w:r>
        <w:t xml:space="preserve"> the biofilm, a process important for effective biofilm growth (37). The oncogenic bacteria may then be able to transform the epithelial cells and disrupt tight junctions to infiltrate the epithelium, thereby initiating an inflammatory immune response. As </w:t>
      </w:r>
      <w:r>
        <w:t>the adenomatous polyps developed and progressed towards carcinogenesis, we observed a shift in the phages and bacteria whose relative abundances were most influential. As the bacteria enter their oncogenic synergy with the epithelium, we conjecture that th</w:t>
      </w:r>
      <w:r>
        <w:t>e phages continue mediating biofilm dispersal. This process would thereby support the colonized oncogenic bacteria by lysing competing cells and releasing nutrients to other bacteria in the form of cellular lysates. In addition to highlighting the likely m</w:t>
      </w:r>
      <w:r>
        <w:t>echanisms by which the colorectal cancer virome is interacting with the bacterial communities this model will guide future research investigations of the role the virome plays colorectal cancer.</w:t>
      </w:r>
    </w:p>
    <w:p w14:paraId="7F9D5BFF" w14:textId="77777777" w:rsidR="002A11F6" w:rsidRDefault="00B07C2D">
      <w:pPr>
        <w:pStyle w:val="BodyText"/>
      </w:pPr>
      <w:r>
        <w:t>Our working hypothesis represents a conceptualization of area</w:t>
      </w:r>
      <w:r>
        <w:t>s for future work, which will be required to characterize the colorectal cancer microbiome at the functional, mechanistic level. There are many different ways in which this system may operating, and our working hypothesis is one. For example, it is possibl</w:t>
      </w:r>
      <w:r>
        <w:t xml:space="preserve">e that the bacterial communities cause a change in the virome instead of the virome altering the bacterial communities. To better understand this system, future studies will include larger cohort human studies, further </w:t>
      </w:r>
      <w:r>
        <w:rPr>
          <w:i/>
        </w:rPr>
        <w:t>in vitro</w:t>
      </w:r>
      <w:r>
        <w:t xml:space="preserve"> and </w:t>
      </w:r>
      <w:r>
        <w:rPr>
          <w:i/>
        </w:rPr>
        <w:t>in vivo</w:t>
      </w:r>
      <w:r>
        <w:t xml:space="preserve"> mechanistic expe</w:t>
      </w:r>
      <w:r>
        <w:t>rimentation, and attempts at community studies using absolute abundance values instead of relative abundance, which would allow for more accurate community dynamic modeling. Overall, this study provides a conceptual foundation to direct future characteriza</w:t>
      </w:r>
      <w:r>
        <w:t>tion of the colorectal cancer microbiome at the functional, mechanistic level.</w:t>
      </w:r>
    </w:p>
    <w:p w14:paraId="52DF37C0" w14:textId="77777777" w:rsidR="002A11F6" w:rsidRDefault="00B07C2D">
      <w:pPr>
        <w:pStyle w:val="BodyText"/>
      </w:pPr>
      <w:r>
        <w:t>In addition to the diagnostic ramifications for understanding the colorectal cancer microbiome, our findings suggest that viruses, while understudied and currently under-appreci</w:t>
      </w:r>
      <w:r>
        <w:t>ated in the human microbiome, are likely to be an important contributor to human disease. Viral community dynamics have the potential to provide an abundance of information to supplement those of bacterial communities. Evidence has suggested that the virom</w:t>
      </w:r>
      <w:r>
        <w:t xml:space="preserve">e is a crucial component to the microbiome and that bacteriophages are important players. Bacteriophage and bacterial </w:t>
      </w:r>
      <w:r>
        <w:lastRenderedPageBreak/>
        <w:t>communities cannot maintain stability and co-evolution without one another (6, 38). Not only is the human virome an important element to c</w:t>
      </w:r>
      <w:r>
        <w:t>onsider in human health and disease (12–18), but our findings support that it is likely to have a significant impact on cancer etiology and progression.</w:t>
      </w:r>
    </w:p>
    <w:p w14:paraId="586AB32A" w14:textId="77777777" w:rsidR="002A11F6" w:rsidRDefault="00B07C2D">
      <w:pPr>
        <w:pStyle w:val="Heading1"/>
      </w:pPr>
      <w:bookmarkStart w:id="11" w:name="materials-and-methods"/>
      <w:bookmarkEnd w:id="11"/>
      <w:r>
        <w:t>Materials and Methods</w:t>
      </w:r>
    </w:p>
    <w:p w14:paraId="10683A1D" w14:textId="77777777" w:rsidR="002A11F6" w:rsidRDefault="00B07C2D">
      <w:pPr>
        <w:pStyle w:val="Heading2"/>
      </w:pPr>
      <w:bookmarkStart w:id="12" w:name="analysis-source-code-data-availability"/>
      <w:bookmarkEnd w:id="12"/>
      <w:r>
        <w:t>Analysis Source Code &amp; Data Availability</w:t>
      </w:r>
    </w:p>
    <w:p w14:paraId="098A1493" w14:textId="77777777" w:rsidR="002A11F6" w:rsidRDefault="00B07C2D">
      <w:pPr>
        <w:pStyle w:val="FirstParagraph"/>
      </w:pPr>
      <w:r>
        <w:t>All study sequences are available on the</w:t>
      </w:r>
      <w:r>
        <w:t xml:space="preserve"> NCBI Sequence Read Archive under the BioProject ID </w:t>
      </w:r>
      <w:r>
        <w:rPr>
          <w:rStyle w:val="VerbatimChar"/>
        </w:rPr>
        <w:t>PRJNA389927</w:t>
      </w:r>
      <w:r>
        <w:t>.</w:t>
      </w:r>
    </w:p>
    <w:p w14:paraId="1143FB0F" w14:textId="77777777" w:rsidR="002A11F6" w:rsidRDefault="00B07C2D">
      <w:pPr>
        <w:pStyle w:val="BodyText"/>
      </w:pPr>
      <w:r>
        <w:t>All associated source code is available at the following GitHub repository:</w:t>
      </w:r>
    </w:p>
    <w:p w14:paraId="78033601" w14:textId="77777777" w:rsidR="002A11F6" w:rsidRDefault="00B07C2D">
      <w:pPr>
        <w:pStyle w:val="BodyText"/>
      </w:pPr>
      <w:r>
        <w:t>https://github.com/SchlossLab/Hannigan_CRCVirome_mBio_2018</w:t>
      </w:r>
    </w:p>
    <w:p w14:paraId="2E3BB01D" w14:textId="77777777" w:rsidR="002A11F6" w:rsidRDefault="00B07C2D">
      <w:pPr>
        <w:pStyle w:val="Heading2"/>
      </w:pPr>
      <w:bookmarkStart w:id="13" w:name="study-design-and-patient-sampling"/>
      <w:bookmarkEnd w:id="13"/>
      <w:r>
        <w:t>Study Design and Patient Sampling</w:t>
      </w:r>
    </w:p>
    <w:p w14:paraId="42E003CE" w14:textId="77777777" w:rsidR="002A11F6" w:rsidRDefault="00B07C2D">
      <w:pPr>
        <w:pStyle w:val="FirstParagraph"/>
      </w:pPr>
      <w:r>
        <w:t>This study was approved by the University of Michigan Institutional Review Board and all subjects provided informed consent. Design and sampling of this sample set have been reported previously (8). Briefly, whole evacuated stool was collected from patient</w:t>
      </w:r>
      <w:r>
        <w:t>s who were 18 years of age or older, able to provide informed consent, have had colonoscopy and histologically confirmed colonic disease status, had not had surgery, had not had chemotherapy or radiation, and were free of known co-morbidities including HIV</w:t>
      </w:r>
      <w:r>
        <w:t>, chronic viral hepatitis, HNPCC, FAP, and inflammatory bowel disease. Healthy subjects entered the clinic for the study and did not present as a result of co-morbities. Samples were collected from four geographic locations: Toronto (Ontario, Canada), Bost</w:t>
      </w:r>
      <w:r>
        <w:t>on (Massachusetts, USA), Houston (Texas, USA), and Ann Arbor (Michigan, USA). Ninety patients were recruited to the study, thirty of which were designated healthy, thirty with detected adenomas, and thirty with detected carcinomas.</w:t>
      </w:r>
    </w:p>
    <w:p w14:paraId="26FEC350" w14:textId="77777777" w:rsidR="002A11F6" w:rsidRDefault="00B07C2D">
      <w:pPr>
        <w:pStyle w:val="Heading2"/>
      </w:pPr>
      <w:bookmarkStart w:id="14" w:name="s-rrna-gene-sequence-data-acquisition-pr"/>
      <w:bookmarkEnd w:id="14"/>
      <w:r>
        <w:t>16S rRNA Gene Sequence D</w:t>
      </w:r>
      <w:r>
        <w:t>ata Acquisition &amp; Processing</w:t>
      </w:r>
    </w:p>
    <w:p w14:paraId="1697A6DC" w14:textId="77777777" w:rsidR="002A11F6" w:rsidRDefault="00B07C2D">
      <w:pPr>
        <w:pStyle w:val="FirstParagraph"/>
      </w:pPr>
      <w:r>
        <w:t>The 16S rRNA gene sequences associated with this study were previously reported (8). Sequence (fastq) and metadata files were downloaded from:</w:t>
      </w:r>
    </w:p>
    <w:p w14:paraId="52E914BF" w14:textId="77777777" w:rsidR="002A11F6" w:rsidRDefault="00B07C2D">
      <w:pPr>
        <w:pStyle w:val="BodyText"/>
      </w:pPr>
      <w:r>
        <w:t>http://www.mothur.org/MicrobiomeBiomarkerCRC</w:t>
      </w:r>
    </w:p>
    <w:p w14:paraId="52CDC086" w14:textId="77777777" w:rsidR="002A11F6" w:rsidRDefault="00B07C2D">
      <w:pPr>
        <w:pStyle w:val="BodyText"/>
      </w:pPr>
      <w:r>
        <w:t>The 16S rRNA gene sequences were analyz</w:t>
      </w:r>
      <w:r>
        <w:t>ed as described previously, relying on the mothur software package (v1.37.0) (39, 40). Briefly, the sequences were de-replicated, aligned to the SILVA database (41), screened for chimeras using UCHIME (42), and binned into operational taxonomic units (OTUs</w:t>
      </w:r>
      <w:r>
        <w:t>) using a 97% similarity threshold. Abundances were normalized for uneven sequencing depth by randomly sub-sampling to 10,000 sequences, as previously reported (23).</w:t>
      </w:r>
    </w:p>
    <w:p w14:paraId="3A5FA60D" w14:textId="77777777" w:rsidR="002A11F6" w:rsidRDefault="00B07C2D">
      <w:pPr>
        <w:pStyle w:val="Heading2"/>
      </w:pPr>
      <w:bookmarkStart w:id="15" w:name="whole-metagenomic-library-preparation-se"/>
      <w:bookmarkEnd w:id="15"/>
      <w:r>
        <w:lastRenderedPageBreak/>
        <w:t>Whole Metagenomic Library Preparation &amp; Sequencing</w:t>
      </w:r>
    </w:p>
    <w:p w14:paraId="0272249B" w14:textId="77777777" w:rsidR="002A11F6" w:rsidRDefault="00B07C2D">
      <w:pPr>
        <w:pStyle w:val="FirstParagraph"/>
      </w:pPr>
      <w:r>
        <w:t>DNA was extracted from stool samples us</w:t>
      </w:r>
      <w:r>
        <w:t>ing the PowerSoil-htp 96 Well Soil DNA Isolation Kit (Mo Bio Laboratories) using an EPMotion 5075 pipetting system. Purified DNA was used to prepare a shotgun sequencing library using the Illumina Nextera XT library preparation kit according to the standar</w:t>
      </w:r>
      <w:r>
        <w:t>d kit protocol, including 12 cycles of limited cycle PCR. The tagmentation time was increased from five minutes to ten minutes to improve DNA fragment length distribution. The library was sequenced using one lane of the Illumina HiSeq4000 platform and yiel</w:t>
      </w:r>
      <w:r>
        <w:t>ded 125 bp paired end reads.</w:t>
      </w:r>
    </w:p>
    <w:p w14:paraId="6FF306A7" w14:textId="77777777" w:rsidR="002A11F6" w:rsidRDefault="00B07C2D">
      <w:pPr>
        <w:pStyle w:val="Heading2"/>
      </w:pPr>
      <w:bookmarkStart w:id="16" w:name="virus-metagenomic-library-preparation-se"/>
      <w:bookmarkEnd w:id="16"/>
      <w:r>
        <w:t>Virus Metagenomic Library Preparation &amp; Sequencing</w:t>
      </w:r>
    </w:p>
    <w:p w14:paraId="59532549" w14:textId="77777777" w:rsidR="002A11F6" w:rsidRDefault="00B07C2D">
      <w:pPr>
        <w:pStyle w:val="FirstParagraph"/>
      </w:pPr>
      <w:r>
        <w:t>Genomic DNA was extracted from purified virus-like particles (VLPs) from stool samples, using a modified version of a previously published protocol (29, 31, 43, 44). Briefly, a</w:t>
      </w:r>
      <w:r>
        <w:t>n aliquot of stool (~0.1 g) was resuspended in SM buffer (Crystalgen; Catalog #: 221-179) and vortexed to facilitate resuspension. The resuspended stool was centrifuged to remove major particulate debris then filtered through a 0.22-µm filter to remove sma</w:t>
      </w:r>
      <w:r>
        <w:t xml:space="preserve">ller contaminants. The filtered supernatant was treated with chloroform for ten minutes with gentle shaking, so as to lyse contaminating cells including bacteria, human, fungi, etc. The exposed genomic DNA from the lysed cells was degraded by treating the </w:t>
      </w:r>
      <w:r>
        <w:t>samples with 5U of DNase for one hour at 37C. DNase was deactivated by incubating the sample at 75C for ten minutes. The DNA was extracted from the purified virus-like particles (VLPs) using the Wizard PCR Purification Preparation Kit (Promega). Disease cl</w:t>
      </w:r>
      <w:r>
        <w:t>asses were staggered across purification runs to prevent run variation as a confounding factor. As for whole community metagenomes, purified DNA was used to prepare a shotgun sequencing library using the Illumina Nextera XT preparation kit according to the</w:t>
      </w:r>
      <w:r>
        <w:t xml:space="preserve"> standard kit protocol. The tagmentation time was increased from five minutes to ten minutes to improve DNA fragment length distribution. The PCR cycle number was increased from twelve to eighteen cycles to address the low biomass of the samples, as has be</w:t>
      </w:r>
      <w:r>
        <w:t>en described previously (29). The library was sequenced using one lane of the Illumina HiSeq4000 platform and yielded 125 bp paired end reads.</w:t>
      </w:r>
    </w:p>
    <w:p w14:paraId="65CA5296" w14:textId="77777777" w:rsidR="002A11F6" w:rsidRDefault="00B07C2D">
      <w:pPr>
        <w:pStyle w:val="Heading2"/>
      </w:pPr>
      <w:bookmarkStart w:id="17" w:name="metagenome-quality-control"/>
      <w:bookmarkEnd w:id="17"/>
      <w:r>
        <w:t>Metagenome Quality Control</w:t>
      </w:r>
    </w:p>
    <w:p w14:paraId="1DCF2201" w14:textId="77777777" w:rsidR="002A11F6" w:rsidRDefault="00B07C2D">
      <w:pPr>
        <w:pStyle w:val="FirstParagraph"/>
      </w:pPr>
      <w:r>
        <w:t xml:space="preserve">Both the viral and whole community metagenomic sample sets were subjected to the same </w:t>
      </w:r>
      <w:r>
        <w:t xml:space="preserve">quality control procedures. The sequences were obtained as de-multiplexed fastq files and subjected to 5' and 3' adapter trimming using the CutAdapt program (v1.9.1) with an error rate of 0.1 and an overlap of 10 (45). The FastX toolkit (v0.0.14) was used </w:t>
      </w:r>
      <w:r>
        <w:t>to quality trim the reads to a minimum length of 75 bp and a minimum quality score of 30 (46). Reads mapping to the human genome were removed using the DeconSeq algorithm (v0.4.3) and default parameters (47).</w:t>
      </w:r>
    </w:p>
    <w:p w14:paraId="2E584E37" w14:textId="77777777" w:rsidR="002A11F6" w:rsidRDefault="00B07C2D">
      <w:pPr>
        <w:pStyle w:val="Heading2"/>
      </w:pPr>
      <w:bookmarkStart w:id="18" w:name="contig-assembly-abundance"/>
      <w:bookmarkEnd w:id="18"/>
      <w:r>
        <w:lastRenderedPageBreak/>
        <w:t>Contig Assembly &amp; Abundance</w:t>
      </w:r>
    </w:p>
    <w:p w14:paraId="0CBD6342" w14:textId="77777777" w:rsidR="002A11F6" w:rsidRDefault="00B07C2D">
      <w:pPr>
        <w:pStyle w:val="FirstParagraph"/>
      </w:pPr>
      <w:r>
        <w:t>Contigs were assembled using paired end read files that were purged of sequences without a corresponding pair (e.g. one read removed due to low quality). The Megahit program (v1.0.6) was used to assemble contigs for each sample using a minimum contig lengt</w:t>
      </w:r>
      <w:r>
        <w:t>h of 1000 bp and iterating assemblies from 21-mers to 101-mers by 20 (48). Contigs from the virus and whole metagenomic sample sets were concatenated within their respective groups. Abundance of the contigs within each sample was calculated by aligning seq</w:t>
      </w:r>
      <w:r>
        <w:t>uences back to the concatenated contig files using the bowtie2 global aligner (v2.2.1), with a 25 bp seed length and an allowance of one mismatch (49). Abundance was corrected for contig reference length and the number of contigs included in each operation</w:t>
      </w:r>
      <w:r>
        <w:t>al genomic unit. Abundance was also corrected for uneven sampling depth by randomly sub-sampling virome and whole metagenomes to 1,000,000 and 500,000 reads, respectively, and by removing samples with fewer total reads than the threshold. Thresholds were s</w:t>
      </w:r>
      <w:r>
        <w:t>et for maximizing sequence information while minimizing numbers of lost samples.</w:t>
      </w:r>
    </w:p>
    <w:p w14:paraId="58959532" w14:textId="77777777" w:rsidR="002A11F6" w:rsidRDefault="00B07C2D">
      <w:pPr>
        <w:pStyle w:val="Heading2"/>
      </w:pPr>
      <w:bookmarkStart w:id="19" w:name="operational-genomic-unit-classification"/>
      <w:bookmarkEnd w:id="19"/>
      <w:r>
        <w:t>Operational Genomic Unit Classification</w:t>
      </w:r>
    </w:p>
    <w:p w14:paraId="7D897E2B" w14:textId="77777777" w:rsidR="002A11F6" w:rsidRDefault="00B07C2D">
      <w:pPr>
        <w:pStyle w:val="FirstParagraph"/>
      </w:pPr>
      <w:r>
        <w:t>Much like operational taxonomic units (OTUs) are used as an operational definition of similar 16S rRNA gene sequences, we defined close</w:t>
      </w:r>
      <w:r>
        <w:t>ly related bacterial contig sequences as operational genomic units (OGUs) and virus contigs as operational viral units (OVUs) in the absence of taxonomic identity. OGUs and OVUs were defined with the CONCOCT algorithm (v0.4.0) which bins related contigs by</w:t>
      </w:r>
      <w:r>
        <w:t xml:space="preserve"> similar tetra-mer and co-abundance profiles within samples using a variational Bayesian approach (50). CONCOCT was used with a length threshold of 1000 bp for virus contigs and 2000 bp for bacteria.</w:t>
      </w:r>
    </w:p>
    <w:p w14:paraId="1EBA441D" w14:textId="77777777" w:rsidR="002A11F6" w:rsidRDefault="00B07C2D">
      <w:pPr>
        <w:pStyle w:val="Heading2"/>
      </w:pPr>
      <w:bookmarkStart w:id="20" w:name="diversity"/>
      <w:bookmarkEnd w:id="20"/>
      <w:r>
        <w:t>Diversity</w:t>
      </w:r>
    </w:p>
    <w:p w14:paraId="6AD3D630" w14:textId="77777777" w:rsidR="002A11F6" w:rsidRDefault="00B07C2D">
      <w:pPr>
        <w:pStyle w:val="FirstParagraph"/>
      </w:pPr>
      <w:r>
        <w:t>Alpha and beta diversity were calculated using</w:t>
      </w:r>
      <w:r>
        <w:t xml:space="preserve"> the operational viral unit abundance profiles for each sample. Sequences were rarefied to 100,000 sequences. Samples with less than the cutoff were removed from the analysis. Alpha diversity was calculated using the Shannon diversity and richness metrics.</w:t>
      </w:r>
      <w:r>
        <w:t xml:space="preserve"> Beta diversity was calculated using the Bray-Curtis metric (mean of 25 random sub-sampling iterations), and the statistical significance between the disease state clusters was assessed using an analysis of similarity (ANOSIM) with a post-hoc multivariate </w:t>
      </w:r>
      <w:r>
        <w:t>Tukey test. All diversity calculations were performed in R using the Vegan package (51).</w:t>
      </w:r>
    </w:p>
    <w:p w14:paraId="5BCCDE7B" w14:textId="77777777" w:rsidR="002A11F6" w:rsidRDefault="00B07C2D">
      <w:pPr>
        <w:pStyle w:val="Heading2"/>
      </w:pPr>
      <w:bookmarkStart w:id="21" w:name="classification-modeling"/>
      <w:bookmarkEnd w:id="21"/>
      <w:r>
        <w:t>Classification Modeling</w:t>
      </w:r>
    </w:p>
    <w:p w14:paraId="5D7FF604" w14:textId="77777777" w:rsidR="002A11F6" w:rsidRDefault="00B07C2D">
      <w:pPr>
        <w:pStyle w:val="FirstParagraph"/>
      </w:pPr>
      <w:r>
        <w:t>Classification modeling was performed in R using the Caret package (52). OTU, OVU, and OGU abundance data was preprocessed by removing features</w:t>
      </w:r>
      <w:r>
        <w:t xml:space="preserve"> (OTUs, OVUs, and OGUs) that were present in less than thirty of the samples. This served both as an effective feature reduction technique and made the calculations computationally </w:t>
      </w:r>
      <w:r>
        <w:lastRenderedPageBreak/>
        <w:t>feasible. The binary random forest model was trained using the Area Under t</w:t>
      </w:r>
      <w:r>
        <w:t>he receiver operating characteristic Curve (AUC) and the three-class random forest model was trained using the mean AUC. Both were validated using five-fold nested cross validation to prevent over-fitting on the tuning paramters. Each training set was repe</w:t>
      </w:r>
      <w:r>
        <w:t>ated five times, and the model was tuned for mtry values. For consistency and accurate comparison between feature groups (e.g., bacteria, viruses), the sample model parameters were used for each group. The maximum AUC during training was recorded across tw</w:t>
      </w:r>
      <w:r>
        <w:t>enty iterations of each group model to test the significance of the differences between feature set performance. Statistical significance was evaluated using a Wilcoxon test between two categories, or a pairwise Wilcoxon test with Bonferroni corrected p-va</w:t>
      </w:r>
      <w:r>
        <w:t>lues when comparing more than two categories.</w:t>
      </w:r>
    </w:p>
    <w:p w14:paraId="110DCF6C" w14:textId="77777777" w:rsidR="002A11F6" w:rsidRDefault="00B07C2D">
      <w:pPr>
        <w:pStyle w:val="Heading2"/>
      </w:pPr>
      <w:bookmarkStart w:id="22" w:name="taxonomic-identification-of-operational-"/>
      <w:bookmarkEnd w:id="22"/>
      <w:r>
        <w:t>Taxonomic Identification of Operational Genomic Units</w:t>
      </w:r>
    </w:p>
    <w:p w14:paraId="59DB1F26" w14:textId="77777777" w:rsidR="002A11F6" w:rsidRDefault="00B07C2D">
      <w:pPr>
        <w:pStyle w:val="FirstParagraph"/>
      </w:pPr>
      <w:r>
        <w:t>Operational viral units (OVUs) were taxonomically identified using a reference database consisting of all bacteriophage and eukaryotic virus genomes present</w:t>
      </w:r>
      <w:r>
        <w:t xml:space="preserve"> in the European Nucleotide Archives. The longest contiguous sequence in each operational genomic unit was used as a representative sequence for classification, as described previously (53). Each representative sequence was aligned to the reference genome </w:t>
      </w:r>
      <w:r>
        <w:t>database using the tblastx alignment algorithm (v2.2.27) and a strict similarity threshold (e-value &lt; 1e-25) (54). Annotation was interpreted as phage, eukaryotic virus, or unknown. As an additional quality control step, these OVUs were also aligned to the</w:t>
      </w:r>
      <w:r>
        <w:t xml:space="preserve"> bacterial reference genome set from the European Nucleotide Archives using the blastn algorithm (e-value &lt; 1e-25) and OVUs with similarity to bacterial genomes and not viral genomes were removed from analysis.</w:t>
      </w:r>
    </w:p>
    <w:p w14:paraId="4646E87E" w14:textId="77777777" w:rsidR="002A11F6" w:rsidRDefault="00B07C2D">
      <w:pPr>
        <w:pStyle w:val="Heading2"/>
      </w:pPr>
      <w:bookmarkStart w:id="23" w:name="ecological-network-analysis-correlations"/>
      <w:bookmarkEnd w:id="23"/>
      <w:r>
        <w:t>Ecological Network Analysis &amp; Correlations</w:t>
      </w:r>
    </w:p>
    <w:p w14:paraId="295214FF" w14:textId="77777777" w:rsidR="002A11F6" w:rsidRDefault="00B07C2D">
      <w:pPr>
        <w:pStyle w:val="FirstParagraph"/>
      </w:pPr>
      <w:r>
        <w:t>Th</w:t>
      </w:r>
      <w:r>
        <w:t>e ecological network of the bacterial and phage operational genomic units was constructed and analyzed as previously described (34). Briefly, a random forest model was used to predict interactions between bacterial and phage genomic units, and those intera</w:t>
      </w:r>
      <w:r>
        <w:t xml:space="preserve">ctions were recorded in a graph database using </w:t>
      </w:r>
      <w:r>
        <w:rPr>
          <w:i/>
        </w:rPr>
        <w:t>neo4j</w:t>
      </w:r>
      <w:r>
        <w:t xml:space="preserve"> graph databasing software (v2.3.1). The degree of phage centrality was quantified using the alpha centrality metric in the igraph CRAN package. A Spearman correlation was performed between model importan</w:t>
      </w:r>
      <w:r>
        <w:t>ce and phage centrality scores.</w:t>
      </w:r>
    </w:p>
    <w:p w14:paraId="4CFC51B4" w14:textId="77777777" w:rsidR="002A11F6" w:rsidRDefault="00B07C2D">
      <w:pPr>
        <w:pStyle w:val="Heading2"/>
      </w:pPr>
      <w:bookmarkStart w:id="24" w:name="phage-replication-style-identification"/>
      <w:bookmarkEnd w:id="24"/>
      <w:r>
        <w:t>Phage Replication Style Identification</w:t>
      </w:r>
    </w:p>
    <w:p w14:paraId="06D742C8" w14:textId="77777777" w:rsidR="002A11F6" w:rsidRDefault="00B07C2D">
      <w:pPr>
        <w:pStyle w:val="FirstParagraph"/>
      </w:pPr>
      <w:r>
        <w:t>Phage OVU replication mode was predicted using methods described previously (29, 31, 32). Briefly, we identified temperate OVUs as representative contigs containing at least one of thre</w:t>
      </w:r>
      <w:r>
        <w:t>e genomic markers: 1) phage integrase genes, 2) prophage genes from the ACLAME database, or 3) genomic similarity to bacterial reference genomes. Integrase genes were identified in phage OVU representative contigs by aligning the contigs to a reference dat</w:t>
      </w:r>
      <w:r>
        <w:t xml:space="preserve">abase of all known phage integrase genes from the Uniprot database (Uniprot search term: "organism:phage gene:int </w:t>
      </w:r>
      <w:r>
        <w:lastRenderedPageBreak/>
        <w:t>NOT putative"). Prophage genes were identified in the same way, using the ACLAME set of reference prophage genes. In both cases, the blastx al</w:t>
      </w:r>
      <w:r>
        <w:t>gorithm was used with an e-value threshold of 10e-5. Representative contigs were also identified as potential lysogenic phages by having a high genomic similarity to bacterial genomes. To accomplish this, representative phage contigs were aligned to the Eu</w:t>
      </w:r>
      <w:r>
        <w:t>ropean Nucleotide Archive bacterial genome reference set using the blastn algorithm (e-value &lt; 10e-25).</w:t>
      </w:r>
    </w:p>
    <w:p w14:paraId="0B29A4B6" w14:textId="77777777" w:rsidR="002A11F6" w:rsidRDefault="00B07C2D">
      <w:pPr>
        <w:pStyle w:val="Heading1"/>
      </w:pPr>
      <w:bookmarkStart w:id="25" w:name="funding-information"/>
      <w:bookmarkEnd w:id="25"/>
      <w:r>
        <w:t>Funding Information</w:t>
      </w:r>
    </w:p>
    <w:p w14:paraId="57A09A7B" w14:textId="77777777" w:rsidR="002A11F6" w:rsidRDefault="00B07C2D">
      <w:pPr>
        <w:pStyle w:val="FirstParagraph"/>
      </w:pPr>
      <w:r>
        <w:t xml:space="preserve">GD Hannigan was supported in part by the Molecular Mechanisms in Microbial Pathogenesis Training Program (T32 AI007528). PD Schloss </w:t>
      </w:r>
      <w:r>
        <w:t>was supported by funding from the National Institutes of Health (P30DK034933). MT Ruffin was supported by funding from the National Institutes of Health (5U01CA86400). The authors declare no competing interests.</w:t>
      </w:r>
    </w:p>
    <w:p w14:paraId="47533BA5" w14:textId="77777777" w:rsidR="002A11F6" w:rsidRDefault="00B07C2D">
      <w:pPr>
        <w:pStyle w:val="Heading1"/>
      </w:pPr>
      <w:bookmarkStart w:id="26" w:name="acknowledgments"/>
      <w:bookmarkEnd w:id="26"/>
      <w:r>
        <w:t>Acknowledgments</w:t>
      </w:r>
    </w:p>
    <w:p w14:paraId="5F241669" w14:textId="77777777" w:rsidR="002A11F6" w:rsidRDefault="00B07C2D">
      <w:pPr>
        <w:pStyle w:val="FirstParagraph"/>
      </w:pPr>
      <w:r>
        <w:t>The authors thank the Schlos</w:t>
      </w:r>
      <w:r>
        <w:t>s lab members for their underlying contributions, and the Great Lakes-New England Early Detection Research Network for providing the fecal samples that were used in this study. The authors also thank the participants in the study cohort.</w:t>
      </w:r>
    </w:p>
    <w:p w14:paraId="067CA273" w14:textId="77777777" w:rsidR="002A11F6" w:rsidRDefault="00B07C2D">
      <w:pPr>
        <w:pStyle w:val="Heading1"/>
      </w:pPr>
      <w:bookmarkStart w:id="27" w:name="references"/>
      <w:bookmarkEnd w:id="27"/>
      <w:r>
        <w:t>References</w:t>
      </w:r>
    </w:p>
    <w:p w14:paraId="7670C341" w14:textId="77777777" w:rsidR="002A11F6" w:rsidRDefault="00B07C2D">
      <w:pPr>
        <w:pStyle w:val="FirstParagraph"/>
      </w:pPr>
      <w:r>
        <w:t>1. Feng</w:t>
      </w:r>
      <w:r>
        <w:t xml:space="preserve"> H, Shuda M, Chang Y, Moore PS. 2008. Clonal integration of a polyomavirus in human Merkel cell carcinoma. Science 319:1096–1100.</w:t>
      </w:r>
    </w:p>
    <w:p w14:paraId="5EFF9EA1" w14:textId="77777777" w:rsidR="002A11F6" w:rsidRDefault="00B07C2D">
      <w:pPr>
        <w:pStyle w:val="BodyText"/>
      </w:pPr>
      <w:r>
        <w:t>2. Shuda M, Kwun HJ, Feng H, Chang Y, Moore PS. 2011. Human Merkel cell polyomavirus small T antigen is an oncoprotein targeti</w:t>
      </w:r>
      <w:r>
        <w:t>ng the 4E-BP1 translation regulator. Journal of Clinical Investigation 121:3623–3634.</w:t>
      </w:r>
    </w:p>
    <w:p w14:paraId="0F7576CF" w14:textId="77777777" w:rsidR="002A11F6" w:rsidRDefault="00B07C2D">
      <w:pPr>
        <w:pStyle w:val="BodyText"/>
      </w:pPr>
      <w:r>
        <w:t>3. Schiller JT, Castellsagué X, Garland SM. 2012. A review of clinical trials of human papillomavirus prophylactic vaccines. Vaccine 30 Suppl 5:F123–38.</w:t>
      </w:r>
    </w:p>
    <w:p w14:paraId="285BA164" w14:textId="77777777" w:rsidR="002A11F6" w:rsidRDefault="00B07C2D">
      <w:pPr>
        <w:pStyle w:val="BodyText"/>
      </w:pPr>
      <w:r>
        <w:t>4. Chang Y, Cesar</w:t>
      </w:r>
      <w:r>
        <w:t>man E, Pessin MS, Lee F, Culpepper J, Knowles DM, Moore PS. 1994. Identification of herpesvirus-like DNA sequences in AIDS-associated Kaposi’s sarcoma. Science 266:1865–1869.</w:t>
      </w:r>
    </w:p>
    <w:p w14:paraId="5E4B4A06" w14:textId="77777777" w:rsidR="002A11F6" w:rsidRDefault="00B07C2D">
      <w:pPr>
        <w:pStyle w:val="BodyText"/>
      </w:pPr>
      <w:r>
        <w:t>5. Harcombe WR, Bull JJ. 2005. Impact of phages on two-species bacterial communit</w:t>
      </w:r>
      <w:r>
        <w:t>ies. Applied and Environmental Microbiology 71:5254–5259.</w:t>
      </w:r>
    </w:p>
    <w:p w14:paraId="0963BA13" w14:textId="77777777" w:rsidR="002A11F6" w:rsidRDefault="00B07C2D">
      <w:pPr>
        <w:pStyle w:val="BodyText"/>
      </w:pPr>
      <w:r>
        <w:t>6. Rodriguez-Valera F, Martin-Cuadrado A-B, Rodriguez-Brito B, Pašić L, Thingstad TF, Rohwer F, Mira A. 2009. Explaining microbial population genomics through phage predation. Nature Reviews Microbi</w:t>
      </w:r>
      <w:r>
        <w:t>ology 7:828–836.</w:t>
      </w:r>
    </w:p>
    <w:p w14:paraId="51E621F9" w14:textId="77777777" w:rsidR="002A11F6" w:rsidRDefault="00B07C2D">
      <w:pPr>
        <w:pStyle w:val="BodyText"/>
      </w:pPr>
      <w:r>
        <w:lastRenderedPageBreak/>
        <w:t>7. Cortez MH, Weitz JS. 2014. Coevolution can reverse predator-prey cycles. Proceedings of the National Academy of Sciences of the United States of America 111:7486–7491.</w:t>
      </w:r>
    </w:p>
    <w:p w14:paraId="04B23AB5" w14:textId="77777777" w:rsidR="002A11F6" w:rsidRDefault="00B07C2D">
      <w:pPr>
        <w:pStyle w:val="BodyText"/>
      </w:pPr>
      <w:r>
        <w:t>8. Zackular JP, Rogers MAM, Ruffin MT, Schloss PD. 2014. The human g</w:t>
      </w:r>
      <w:r>
        <w:t>ut microbiome as a screening tool for colorectal cancer. Cancer prevention research (Philadelphia, Pa) 7:1112–1121.</w:t>
      </w:r>
    </w:p>
    <w:p w14:paraId="4482DEC9" w14:textId="77777777" w:rsidR="002A11F6" w:rsidRDefault="00B07C2D">
      <w:pPr>
        <w:pStyle w:val="BodyText"/>
      </w:pPr>
      <w:r>
        <w:t>9. Garrett WS. 2015. Cancer and the microbiota. Science 348:80–86.</w:t>
      </w:r>
    </w:p>
    <w:p w14:paraId="6BA9A53A" w14:textId="77777777" w:rsidR="002A11F6" w:rsidRDefault="00B07C2D">
      <w:pPr>
        <w:pStyle w:val="BodyText"/>
      </w:pPr>
      <w:r>
        <w:t>10. Baxter NT, Zackular JP, Chen GY, Schloss PD. 2014. Structure of the gut microbiome following colonization with human feces determines colonic tumor burden. Microbiome 2:20.</w:t>
      </w:r>
    </w:p>
    <w:p w14:paraId="66348499" w14:textId="77777777" w:rsidR="002A11F6" w:rsidRDefault="00B07C2D">
      <w:pPr>
        <w:pStyle w:val="BodyText"/>
      </w:pPr>
      <w:r>
        <w:t>11. Arthur JC, Perez-Chanona E, Mühlbauer M, Tomkovich S, Uronis JM, Fan T-J, C</w:t>
      </w:r>
      <w:r>
        <w:t>ampbell BJ, Abujamel T, Dogan B, Rogers AB, Rhodes JM, Stintzi A, Simpson KW, Hansen JJ, Keku TO, Fodor AA, Jobin C. 2012. Intestinal inflammation targets cancer-inducing activity of the microbiota. Science 338:120–123.</w:t>
      </w:r>
    </w:p>
    <w:p w14:paraId="07CFDC65" w14:textId="77777777" w:rsidR="002A11F6" w:rsidRDefault="00B07C2D">
      <w:pPr>
        <w:pStyle w:val="BodyText"/>
      </w:pPr>
      <w:r>
        <w:t>12. Ly M, Abeles SR, Boehm TK, Roble</w:t>
      </w:r>
      <w:r>
        <w:t>s-Sikisaka R, Naidu M, Santiago-Rodriguez T, Pride DT. 2014. Altered Oral Viral Ecology in Association with Periodontal Disease. mBio 5:e01133–14–e01133–14.</w:t>
      </w:r>
    </w:p>
    <w:p w14:paraId="4C46B701" w14:textId="77777777" w:rsidR="002A11F6" w:rsidRDefault="00B07C2D">
      <w:pPr>
        <w:pStyle w:val="BodyText"/>
      </w:pPr>
      <w:r>
        <w:t xml:space="preserve">13. Monaco CL, Gootenberg DB, Zhao G, Handley SA, Ghebremichael MS, Lim ES, Lankowski A, Baldridge </w:t>
      </w:r>
      <w:r>
        <w:t>MT, Wilen CB, Flagg M, Norman JM, Keller BC, Luévano JM, Wang D, Boum Y, Martin JN, Hunt PW, Bangsberg DR, Siedner MJ, Kwon DS, Virgin HW. 2016. Altered Virome and Bacterial Microbiome in Human Immunodeficiency Virus-Associated Acquired Immunodeficiency Sy</w:t>
      </w:r>
      <w:r>
        <w:t>ndrome. Cell Host and Microbe 19:311–322.</w:t>
      </w:r>
    </w:p>
    <w:p w14:paraId="4FE77090" w14:textId="77777777" w:rsidR="002A11F6" w:rsidRDefault="00B07C2D">
      <w:pPr>
        <w:pStyle w:val="BodyText"/>
      </w:pPr>
      <w:r>
        <w:t xml:space="preserve">14. Willner D, Furlan M, Haynes M, Schmieder R, Angly FE, Silva J, Tammadoni S, Nosrat B, Conrad D, Rohwer F. 2009. Metagenomic analysis of respiratory tract DNA viral communities in cystic fibrosis and non-cystic </w:t>
      </w:r>
      <w:r>
        <w:t>fibrosis individuals. PLOS ONE 4:e7370.</w:t>
      </w:r>
    </w:p>
    <w:p w14:paraId="7CD61DEC" w14:textId="77777777" w:rsidR="002A11F6" w:rsidRDefault="00B07C2D">
      <w:pPr>
        <w:pStyle w:val="BodyText"/>
      </w:pPr>
      <w:r>
        <w:t>15. Abeles SR, Ly M, Santiago-Rodriguez TM, Pride DT. 2015. Effects of Long Term Antibiotic Therapy on Human Oral and Fecal Viromes. PLOS ONE 10:e0134941.</w:t>
      </w:r>
    </w:p>
    <w:p w14:paraId="3D46F03A" w14:textId="77777777" w:rsidR="002A11F6" w:rsidRDefault="00B07C2D">
      <w:pPr>
        <w:pStyle w:val="BodyText"/>
      </w:pPr>
      <w:r>
        <w:t>16. Modi SR, Lee HH, Spina CS, Collins JJ. 2013. Antibiotic t</w:t>
      </w:r>
      <w:r>
        <w:t>reatment expands the resistance reservoir and ecological network of the phage metagenome. Nature 499:219–222.</w:t>
      </w:r>
    </w:p>
    <w:p w14:paraId="657AC6E5" w14:textId="77777777" w:rsidR="002A11F6" w:rsidRDefault="00B07C2D">
      <w:pPr>
        <w:pStyle w:val="BodyText"/>
      </w:pPr>
      <w:r>
        <w:t>17. Santiago-Rodriguez TM, Ly M, Bonilla N, Pride DT. 2015. The human urine virome in association with urinary tract infections. Frontiers in Micr</w:t>
      </w:r>
      <w:r>
        <w:t>obiology 6:14.</w:t>
      </w:r>
    </w:p>
    <w:p w14:paraId="322D39A0" w14:textId="77777777" w:rsidR="002A11F6" w:rsidRDefault="00B07C2D">
      <w:pPr>
        <w:pStyle w:val="BodyText"/>
      </w:pPr>
      <w:r>
        <w:t>18. Norman JM, Handley SA, Baldridge MT, Droit L, Liu CY, Keller BC, Kambal A, Monaco CL, Zhao G, Fleshner P, Stappenbeck TS, McGovern DPB, Keshavarzian A, Mutlu EA, Sauk J, Gevers D, Xavier RJ, Wang D, Parkes M, Virgin HW. 2015. Disease-spe</w:t>
      </w:r>
      <w:r>
        <w:t>cific alterations in the enteric virome in inflammatory bowel disease. Cell 160:447–460.</w:t>
      </w:r>
    </w:p>
    <w:p w14:paraId="0C088153" w14:textId="77777777" w:rsidR="002A11F6" w:rsidRDefault="00B07C2D">
      <w:pPr>
        <w:pStyle w:val="BodyText"/>
      </w:pPr>
      <w:r>
        <w:lastRenderedPageBreak/>
        <w:t>19. Siegel R, Desantis C, Jemal A. 2014. Colorectal cancer statistics, 2014. CA: a cancer journal for clinicians 64:104–117.</w:t>
      </w:r>
    </w:p>
    <w:p w14:paraId="3D560A98" w14:textId="77777777" w:rsidR="002A11F6" w:rsidRDefault="00B07C2D">
      <w:pPr>
        <w:pStyle w:val="BodyText"/>
      </w:pPr>
      <w:r>
        <w:t>20. Zackular JP, Baxter NT, Chen GY, Schloss PD. 2016. Manipulation of the Gut Microbiota Reveals Role in Colon Tumorigenesis. mSphere 1:e00001–15.</w:t>
      </w:r>
    </w:p>
    <w:p w14:paraId="28E140F6" w14:textId="77777777" w:rsidR="002A11F6" w:rsidRDefault="00B07C2D">
      <w:pPr>
        <w:pStyle w:val="BodyText"/>
      </w:pPr>
      <w:r>
        <w:t>21. Dejea CM, Wick EC, Hechenbleikner EM, White JR, Mark Welch JL, Rossetti BJ, Peterson SN, Snesrud EC, Bor</w:t>
      </w:r>
      <w:r>
        <w:t>isy GG, Lazarev M, Stein E, Vadivelu J, Roslani AC, Malik AA, Wanyiri JW, Goh KL, Thevambiga I, Fu K, Wan F, Llosa N, Housseau F, Romans K, Wu X, McAllister FM, Wu S, Vogelstein B, Kinzler KW, Pardoll DM, Sears CL. 2014. Microbiota organization is a distin</w:t>
      </w:r>
      <w:r>
        <w:t>ct feature of proximal colorectal cancers. Proceedings of the National Academy of Sciences of the United States of America 111:18321–18326.</w:t>
      </w:r>
    </w:p>
    <w:p w14:paraId="6485EBBE" w14:textId="77777777" w:rsidR="002A11F6" w:rsidRDefault="00B07C2D">
      <w:pPr>
        <w:pStyle w:val="BodyText"/>
      </w:pPr>
      <w:r>
        <w:t>22. Flynn KJ, Baxter NT, Schloss PD. 2016. Metabolic and Community Synergy of Oral Bacteria in Colorectal Cancer. mS</w:t>
      </w:r>
      <w:r>
        <w:t>phere 1:e00102–16.</w:t>
      </w:r>
    </w:p>
    <w:p w14:paraId="00B1B1B7" w14:textId="77777777" w:rsidR="002A11F6" w:rsidRDefault="00B07C2D">
      <w:pPr>
        <w:pStyle w:val="BodyText"/>
      </w:pPr>
      <w:r>
        <w:t>23. Baxter NT, Ruffin MT, Rogers MAM, Schloss PD. 2016. Microbiota-based model improves the sensitivity of fecal immunochemical test for detecting colonic lesions. Genome medicine 8:37.</w:t>
      </w:r>
    </w:p>
    <w:p w14:paraId="3BFB7D37" w14:textId="77777777" w:rsidR="002A11F6" w:rsidRDefault="00B07C2D">
      <w:pPr>
        <w:pStyle w:val="BodyText"/>
      </w:pPr>
      <w:r>
        <w:t xml:space="preserve">24. Zeller G, Tap J, Voigt AY, Sunagawa S, Kultima </w:t>
      </w:r>
      <w:r>
        <w:t>JR, Costea PI, Amiot A, Böhm J, Brunetti F, Habermann N, Hercog R, Koch M, Luciani A, Mende DR, Schneider MA, Schrotz-King P, Tournigand C, Tran Van Nhieu J, Yamada T, Zimmermann J, Benes V, Kloor M, Ulrich CM, Knebel Doeberitz M von, Sobhani I, Bork P. 20</w:t>
      </w:r>
      <w:r>
        <w:t>14. Potential of fecal microbiota for early-stage detection of colorectal cancer. Molecular systems biology 10:766–766.</w:t>
      </w:r>
    </w:p>
    <w:p w14:paraId="39FF889D" w14:textId="77777777" w:rsidR="002A11F6" w:rsidRDefault="00B07C2D">
      <w:pPr>
        <w:pStyle w:val="BodyText"/>
      </w:pPr>
      <w:r>
        <w:t>25. Fearon ER. 2011. Molecular genetics of colorectal cancer. Annual review of pathology 6:479–507.</w:t>
      </w:r>
    </w:p>
    <w:p w14:paraId="1B28C7FA" w14:textId="77777777" w:rsidR="002A11F6" w:rsidRDefault="00B07C2D">
      <w:pPr>
        <w:pStyle w:val="BodyText"/>
      </w:pPr>
      <w:r>
        <w:t>26. Levin B, Lieberman DA, McFarland</w:t>
      </w:r>
      <w:r>
        <w:t xml:space="preserve"> B, Smith RA, Brooks D, Andrews KS, Dash C, Giardiello FM, Glick S, Levin TR, Pickhardt P, Rex DK, Thorson A, Winawer SJ, American Cancer Society Colorectal Cancer Advisory Group, US Multi-Society Task Force, American College of Radiology Colon Cancer Comm</w:t>
      </w:r>
      <w:r>
        <w:t>ittee. 2008. Screening and surveillance for the early detection of colorectal cancer and adenomatous polyps, 2008: a joint guideline from the American Cancer Society, the US Multi-Society Task Force on Colorectal Cancer, and the American College of Radiolo</w:t>
      </w:r>
      <w:r>
        <w:t xml:space="preserve">gy., pp. 130–160. </w:t>
      </w:r>
      <w:r>
        <w:rPr>
          <w:i/>
        </w:rPr>
        <w:t>In</w:t>
      </w:r>
      <w:r>
        <w:t xml:space="preserve"> CA: A cancer journal for clinicians. The University of Texas MD Anderson Cancer Center, Houston, TX, USA. John Wiley &amp; Sons, Ltd.</w:t>
      </w:r>
    </w:p>
    <w:p w14:paraId="068C8C9A" w14:textId="77777777" w:rsidR="002A11F6" w:rsidRDefault="00B07C2D">
      <w:pPr>
        <w:pStyle w:val="BodyText"/>
      </w:pPr>
      <w:r>
        <w:t xml:space="preserve">27. Zauber AG. 2015. The impact of screening on colorectal cancer mortality and incidence: has it really </w:t>
      </w:r>
      <w:r>
        <w:t>made a difference? Digestive diseases and sciences 60:681–691.</w:t>
      </w:r>
    </w:p>
    <w:p w14:paraId="58FAAE0F" w14:textId="77777777" w:rsidR="002A11F6" w:rsidRDefault="00B07C2D">
      <w:pPr>
        <w:pStyle w:val="BodyText"/>
      </w:pPr>
      <w:r>
        <w:t>28. Pedulla ML, Ford ME, Houtz JM, Karthikeyan T, Wadsworth C, Lewis JA, Jacobs-Sera D, Falbo J, Gross J, Pannunzio NR, Brucker W, Kumar V, Kandasamy J, Keenan L, Bardarov S, Kriakov J, Lawrenc</w:t>
      </w:r>
      <w:r>
        <w:t>e JG, Jacobs WR, Hendrix RW, Hatfull GF. 2003. Origins of highly mosaic mycobacteriophage genomes. Cell 113:171–182.</w:t>
      </w:r>
    </w:p>
    <w:p w14:paraId="23F4658B" w14:textId="77777777" w:rsidR="002A11F6" w:rsidRDefault="00B07C2D">
      <w:pPr>
        <w:pStyle w:val="BodyText"/>
      </w:pPr>
      <w:r>
        <w:lastRenderedPageBreak/>
        <w:t>29. Hannigan GD, Meisel JS, Tyldsley AS, Zheng Q, Hodkinson BP, SanMiguel AJ, Minot S, Bushman FD, Grice EA. 2015. The Human Skin Double-St</w:t>
      </w:r>
      <w:r>
        <w:t>randed DNA Virome: Topographical and Temporal Diversity, Genetic Enrichment, and Dynamic Associations with the Host Microbiome. mBio 6:e01578–15.</w:t>
      </w:r>
    </w:p>
    <w:p w14:paraId="71E85524" w14:textId="77777777" w:rsidR="002A11F6" w:rsidRDefault="00B07C2D">
      <w:pPr>
        <w:pStyle w:val="BodyText"/>
      </w:pPr>
      <w:r>
        <w:t>30. Brum JR, Ignacio-Espinoza JC, Roux S, Doulcier G, Acinas SG, Alberti A, Chaffron S, Cruaud C, Vargas C de,</w:t>
      </w:r>
      <w:r>
        <w:t xml:space="preserve"> Gasol JM, Gorsky G, Gregory AC, Guidi L, Hingamp P, Iudicone D, Not F, Ogata H, Pesant S, Poulos BT, Schwenck SM, Speich S, Dimier C, Kandels-Lewis S, Picheral M, Searson S, Tara Oceans Coordinators, Bork P, Bowler C, Sunagawa S, Wincker P, Karsenti E, Su</w:t>
      </w:r>
      <w:r>
        <w:t>llivan MB. 2015. Ocean plankton. Patterns and ecological drivers of ocean viral communities. Science 348:1261498–1261498.</w:t>
      </w:r>
    </w:p>
    <w:p w14:paraId="79174980" w14:textId="77777777" w:rsidR="002A11F6" w:rsidRDefault="00B07C2D">
      <w:pPr>
        <w:pStyle w:val="BodyText"/>
      </w:pPr>
      <w:r>
        <w:t xml:space="preserve">31. Minot S, Sinha R, Chen J, Li H, Keilbaugh SA, Wu GD, Lewis JD, Bushman FD. 2011. The human gut virome: Inter-individual variation </w:t>
      </w:r>
      <w:r>
        <w:t>and dynamic response to diet. Genome Research 21:1616–1625.</w:t>
      </w:r>
    </w:p>
    <w:p w14:paraId="0D6BA46C" w14:textId="77777777" w:rsidR="002A11F6" w:rsidRDefault="00B07C2D">
      <w:pPr>
        <w:pStyle w:val="BodyText"/>
      </w:pPr>
      <w:r>
        <w:t>32. Hannigan GD, Zheng Q, Meisel JS, Minot SS, Bushman FD, Grice EA. 2017. Evolutionary and functional implications of hypervariable loci within the skin virome. PeerJ 5:e2959.</w:t>
      </w:r>
    </w:p>
    <w:p w14:paraId="758F6C84" w14:textId="77777777" w:rsidR="002A11F6" w:rsidRDefault="00B07C2D">
      <w:pPr>
        <w:pStyle w:val="BodyText"/>
      </w:pPr>
      <w:r>
        <w:t>33. Reyes A, Haynes</w:t>
      </w:r>
      <w:r>
        <w:t xml:space="preserve"> M, Hanson N, Angly FE, Heath AC, Rohwer F, Gordon JI. 2010. Viruses in the faecal microbiota of monozygotic twins and their mothers. Nature 466:334–338.</w:t>
      </w:r>
    </w:p>
    <w:p w14:paraId="1A430761" w14:textId="77777777" w:rsidR="002A11F6" w:rsidRDefault="00B07C2D">
      <w:pPr>
        <w:pStyle w:val="BodyText"/>
      </w:pPr>
      <w:r>
        <w:t>34. Hannigan GD, Duhaime MB, Koutra D, Schloss PD. 2018. Biogeography and environmental conditions sha</w:t>
      </w:r>
      <w:r>
        <w:t>pe bacteriophage-bacteria networks across the human microbiome. PLoS Computational Biology 14:e1006099.</w:t>
      </w:r>
    </w:p>
    <w:p w14:paraId="187EDECB" w14:textId="77777777" w:rsidR="002A11F6" w:rsidRDefault="00B07C2D">
      <w:pPr>
        <w:pStyle w:val="BodyText"/>
      </w:pPr>
      <w:r>
        <w:t>35. Lengeling A, Mahajan A, Gally DL. 2013. Bacteriophages as Pathogens and Immune Modulators? mBio 4:e00868–13–e00868–13.</w:t>
      </w:r>
    </w:p>
    <w:p w14:paraId="5635E152" w14:textId="77777777" w:rsidR="002A11F6" w:rsidRDefault="00B07C2D">
      <w:pPr>
        <w:pStyle w:val="BodyText"/>
      </w:pPr>
      <w:r>
        <w:t>36. G rski A, Mi dzybrodzki R</w:t>
      </w:r>
      <w:r>
        <w:t>, Borysowski J, D browska K, Wierzbicki P, Ohams M, Korczak-Kowalska G yna, Olszowska-Zaremba N, usiak-Szelachowska M, K ak M, Jo czyk E, Kaniuga E, Go a A, Purchla S, Weber-D browska B, Letkiewicz S awomir, Fortuna W, Szufnarowski K, Pawe czyk Z aw, Rog P</w:t>
      </w:r>
      <w:r>
        <w:t xml:space="preserve">, K osowska D. 2012. Phage as a Modulator of Immune Responses, pp. 41–71. </w:t>
      </w:r>
      <w:r>
        <w:rPr>
          <w:i/>
        </w:rPr>
        <w:t>In</w:t>
      </w:r>
      <w:r>
        <w:t xml:space="preserve"> Bacteriophages, part b. Bacteriophage Laboratory, Ludwik Hirszfeld Institute of Immunology; Experimental Therapy, Polish Academy of Sciences, Wrocław, Poland. agorski@ikp.pl; Else</w:t>
      </w:r>
      <w:r>
        <w:t>vier.</w:t>
      </w:r>
    </w:p>
    <w:p w14:paraId="6C11DCE1" w14:textId="77777777" w:rsidR="002A11F6" w:rsidRDefault="00B07C2D">
      <w:pPr>
        <w:pStyle w:val="BodyText"/>
      </w:pPr>
      <w:r>
        <w:t>37. Rossmann FS, Racek T, Wobser D, Puchalka J, Rabener EM, Reiger M, Hendrickx APA, Diederich A-K, Jung K, Klein C, Huebner J. 2015. Phage-mediated Dispersal of Biofilm and Distribution of Bacterial Virulence Genes Is Induced by Quorum Sensing. PLoS</w:t>
      </w:r>
      <w:r>
        <w:t xml:space="preserve"> Pathogens 11:e1004653–17.</w:t>
      </w:r>
    </w:p>
    <w:p w14:paraId="045398A1" w14:textId="77777777" w:rsidR="002A11F6" w:rsidRDefault="00B07C2D">
      <w:pPr>
        <w:pStyle w:val="BodyText"/>
      </w:pPr>
      <w:r>
        <w:t>38. Brockhurst MA, Koskella B. 2013. Experimental coevolution of species interactions. Trends in ecology &amp; evolution 28:367–375.</w:t>
      </w:r>
    </w:p>
    <w:p w14:paraId="161319C1" w14:textId="77777777" w:rsidR="002A11F6" w:rsidRDefault="00B07C2D">
      <w:pPr>
        <w:pStyle w:val="BodyText"/>
      </w:pPr>
      <w:r>
        <w:t xml:space="preserve">39. Kozich JJ, Westcott SL, Baxter NT, Highlander SK, Schloss PD. 2013. Development of a dual-index sequencing strategy and curation pipeline for analyzing amplicon </w:t>
      </w:r>
      <w:r>
        <w:lastRenderedPageBreak/>
        <w:t>sequence data on the MiSeq Illumina sequencing platform. Applied and Environmental Microbio</w:t>
      </w:r>
      <w:r>
        <w:t>logy 79:5112–5120.</w:t>
      </w:r>
    </w:p>
    <w:p w14:paraId="75CFBC9A" w14:textId="77777777" w:rsidR="002A11F6" w:rsidRDefault="00B07C2D">
      <w:pPr>
        <w:pStyle w:val="BodyText"/>
      </w:pPr>
      <w:r>
        <w:t>40. Schloss PD, Westcott SL, Ryabin T, Hall JR, Hartmann M, Hollister EB, Lesniewski RA, Oakley BB, Parks DH, Robinson CJ, Sahl JW, Stres B, Thallinger GG, Van Horn DJ, Weber CF. 2009. Introducing mothur: open-source, platform-independen</w:t>
      </w:r>
      <w:r>
        <w:t>t, community-supported software for describing and comparing microbial communities. Applied and Environmental Microbiology 75:7537–7541.</w:t>
      </w:r>
    </w:p>
    <w:p w14:paraId="3D8368B1" w14:textId="77777777" w:rsidR="002A11F6" w:rsidRDefault="00B07C2D">
      <w:pPr>
        <w:pStyle w:val="BodyText"/>
      </w:pPr>
      <w:r>
        <w:t>41. Pruesse E, Quast C, Knittel K, Fuchs BM, Ludwig W, Peplies J, Glöckner FO. 2007. SILVA: a comprehensive online reso</w:t>
      </w:r>
      <w:r>
        <w:t>urce for quality checked and aligned ribosomal RNA sequence data compatible with ARB. Nucleic Acids Research 35:7188–7196.</w:t>
      </w:r>
    </w:p>
    <w:p w14:paraId="755414CE" w14:textId="77777777" w:rsidR="002A11F6" w:rsidRDefault="00B07C2D">
      <w:pPr>
        <w:pStyle w:val="BodyText"/>
      </w:pPr>
      <w:r>
        <w:t>42. Edgar RC, Haas BJ, Clemente JC, Quince C, Knight R. 2011. UCHIME improves sensitivity and speed of chimera detection. Bioinformat</w:t>
      </w:r>
      <w:r>
        <w:t>ics 27:2194–2200.</w:t>
      </w:r>
    </w:p>
    <w:p w14:paraId="35AF201E" w14:textId="77777777" w:rsidR="002A11F6" w:rsidRDefault="00B07C2D">
      <w:pPr>
        <w:pStyle w:val="BodyText"/>
      </w:pPr>
      <w:r>
        <w:t>43. Thurber RV, Haynes M, Breitbart M, Wegley L, Rohwer F. 2009. Laboratory procedures to generate viral metagenomes. Nature protocols 4:470–483.</w:t>
      </w:r>
    </w:p>
    <w:p w14:paraId="1A6FED5A" w14:textId="77777777" w:rsidR="002A11F6" w:rsidRDefault="00B07C2D">
      <w:pPr>
        <w:pStyle w:val="BodyText"/>
      </w:pPr>
      <w:r>
        <w:t>44. Kleiner M, Hooper LV, Duerkop BA. 2015. Evaluation of methods to purify virus-like parti</w:t>
      </w:r>
      <w:r>
        <w:t>cles for metagenomic sequencing of intestinal viromes. BMC Genomics 16:7.</w:t>
      </w:r>
    </w:p>
    <w:p w14:paraId="52F14FFD" w14:textId="77777777" w:rsidR="002A11F6" w:rsidRDefault="00B07C2D">
      <w:pPr>
        <w:pStyle w:val="BodyText"/>
      </w:pPr>
      <w:r>
        <w:t>45. Martin M. 2011. Cutadapt removes adapter sequences from high-throughput sequencing reads. EMBnetjournal 17:10.</w:t>
      </w:r>
    </w:p>
    <w:p w14:paraId="0E9682E4" w14:textId="77777777" w:rsidR="002A11F6" w:rsidRDefault="00B07C2D">
      <w:pPr>
        <w:pStyle w:val="BodyText"/>
      </w:pPr>
      <w:r>
        <w:t>46. Hannon GJ. 2010. FASTX-Toolkit GNU Affero General Public Licens</w:t>
      </w:r>
      <w:r>
        <w:t>e.</w:t>
      </w:r>
    </w:p>
    <w:p w14:paraId="3F282079" w14:textId="77777777" w:rsidR="002A11F6" w:rsidRDefault="00B07C2D">
      <w:pPr>
        <w:pStyle w:val="BodyText"/>
      </w:pPr>
      <w:r>
        <w:t>47. Schmieder R, Edwards R. 2011. Fast identification and removal of sequence contamination from genomic and metagenomic datasets. PLOS ONE 6:e17288.</w:t>
      </w:r>
    </w:p>
    <w:p w14:paraId="01728BEA" w14:textId="77777777" w:rsidR="002A11F6" w:rsidRDefault="00B07C2D">
      <w:pPr>
        <w:pStyle w:val="BodyText"/>
      </w:pPr>
      <w:r>
        <w:t xml:space="preserve">48. Li D, Luo R, Liu C-M, Leung C-M, Ting H-F, Sadakane K, Yamashita H, Lam T-W. 2016. MEGAHIT v1.0: A </w:t>
      </w:r>
      <w:r>
        <w:t>fast and scalable metagenome assembler driven by advanced methodologies and community practices. METHODS 102:3–11.</w:t>
      </w:r>
    </w:p>
    <w:p w14:paraId="226E4E33" w14:textId="77777777" w:rsidR="002A11F6" w:rsidRDefault="00B07C2D">
      <w:pPr>
        <w:pStyle w:val="BodyText"/>
      </w:pPr>
      <w:r>
        <w:t>49. Langmead B, Salzberg SL. 2012. Fast gapped-read alignment with Bowtie 2. Nature Methods 9:357–359.</w:t>
      </w:r>
    </w:p>
    <w:p w14:paraId="7CBACB39" w14:textId="77777777" w:rsidR="002A11F6" w:rsidRDefault="00B07C2D">
      <w:pPr>
        <w:pStyle w:val="BodyText"/>
      </w:pPr>
      <w:r>
        <w:t>50. Alneberg J, Bjarnason BS aacute ri</w:t>
      </w:r>
      <w:r>
        <w:t>, Bruijn I de, Schirmer M, Quick J, Ijaz UZ, Lahti L, Loman NJ, Andersson AF, Quince C. 2014. Binning metagenomic contigs by coverage and composition. Nature Methods 1–7.</w:t>
      </w:r>
    </w:p>
    <w:p w14:paraId="2513471A" w14:textId="77777777" w:rsidR="002A11F6" w:rsidRDefault="00B07C2D">
      <w:pPr>
        <w:pStyle w:val="BodyText"/>
      </w:pPr>
      <w:r>
        <w:t>51. Oksanen J, Blanchet FG, Friendly M, Kindt R, Legendre P, McGlinn D, Minchin PR, O</w:t>
      </w:r>
      <w:r>
        <w:t>Hara RB, Simpson GL, Solymos P, Stevens MHH, Szoecs E, Wagner H. vegan: Community Ecology Package.</w:t>
      </w:r>
    </w:p>
    <w:p w14:paraId="6F9B7633" w14:textId="77777777" w:rsidR="002A11F6" w:rsidRDefault="00B07C2D">
      <w:pPr>
        <w:pStyle w:val="BodyText"/>
      </w:pPr>
      <w:r>
        <w:t>52. Kuhn M. 2016. caret: Classification and Regression Training. CRAN.</w:t>
      </w:r>
    </w:p>
    <w:p w14:paraId="3A1286DA" w14:textId="77777777" w:rsidR="002A11F6" w:rsidRDefault="00B07C2D">
      <w:pPr>
        <w:pStyle w:val="BodyText"/>
      </w:pPr>
      <w:r>
        <w:t>53. Guidi L, Chaffron S, Bittner L, Eveillard D, Larhlimi A, Roux S, Darzi Y, Audic S,</w:t>
      </w:r>
      <w:r>
        <w:t xml:space="preserve"> Berline L, Brum JR, Coelho LP, Espinoza JCI, Malviya S, Sunagawa S, Dimier C, Kandels-Lewis S, Picheral M, Poulain J, Searson S, Tara Oceans Consortium </w:t>
      </w:r>
      <w:r>
        <w:lastRenderedPageBreak/>
        <w:t>Coordinators, Stemmann L, Not F, Hingamp P, Speich S, Follows M, Karp-Boss L, Boss E, Ogata H, Pesant S</w:t>
      </w:r>
      <w:r>
        <w:t>, Weissenbach J, Wincker P, Acinas SG, Bork P, Vargas C de, Iudicone D, Sullivan MB, Raes J, Karsenti E, Bowler C, Gorsky G. 2016. Plankton networks driving carbon export in the oligotrophic ocean. Nature 532:465–470.</w:t>
      </w:r>
    </w:p>
    <w:p w14:paraId="73CC2AA4" w14:textId="77777777" w:rsidR="002A11F6" w:rsidRDefault="00B07C2D">
      <w:pPr>
        <w:pStyle w:val="BodyText"/>
      </w:pPr>
      <w:r>
        <w:t>54. Camacho C, Coulouris G, Avagyan V,</w:t>
      </w:r>
      <w:r>
        <w:t xml:space="preserve"> Ma N, Papadopoulos J, Bealer K, Madden TL. 2009. BLAST+: architecture and applications. BMC Bioinformatics 10:1.</w:t>
      </w:r>
    </w:p>
    <w:p w14:paraId="7A8CC06C" w14:textId="77777777" w:rsidR="002A11F6" w:rsidRDefault="00B07C2D">
      <w:pPr>
        <w:pStyle w:val="Heading1"/>
      </w:pPr>
      <w:bookmarkStart w:id="28" w:name="figure-legends"/>
      <w:bookmarkEnd w:id="28"/>
      <w:r>
        <w:t>Figure Legends</w:t>
      </w:r>
    </w:p>
    <w:p w14:paraId="04BEF057" w14:textId="1C8884DE" w:rsidR="002A11F6" w:rsidRDefault="00B07C2D">
      <w:pPr>
        <w:pStyle w:val="FigurewithCaption"/>
      </w:pPr>
      <w:r>
        <w:rPr>
          <w:i/>
        </w:rPr>
        <w:t xml:space="preserve">Figure 1: </w:t>
      </w:r>
      <w:r>
        <w:rPr>
          <w:i/>
        </w:rPr>
        <w:t>Cohort and sample processing outline. Thirty subject stool samples were collected from healthy, adenoma (pre-cancer), and carci</w:t>
      </w:r>
      <w:r>
        <w:rPr>
          <w:i/>
        </w:rPr>
        <w:t>noma (cancer) patients. Stool samples were split into two aliquots, the first of which was used for bacterial sequencing and the second which was used for virus sequencing. Bacterial sequencing was done using both 16S rRNA amplicon and whole metagenomic sh</w:t>
      </w:r>
      <w:r>
        <w:rPr>
          <w:i/>
        </w:rPr>
        <w:t xml:space="preserve">otgun sequencing techniques. Virus samples were purified for viruses using filtration and a combination of chloroform (bacterial lysis) and DNase (exposed genomic DNA degradation). The resulting encapsulated virus DNA was sequenced using whole metagenomic </w:t>
      </w:r>
      <w:r>
        <w:rPr>
          <w:i/>
        </w:rPr>
        <w:t>shotgun sequencing.</w:t>
      </w:r>
      <w:r>
        <w:t xml:space="preserve"> </w:t>
      </w:r>
    </w:p>
    <w:p w14:paraId="06641260" w14:textId="3C5DF08C" w:rsidR="002A11F6" w:rsidRDefault="00B07C2D">
      <w:pPr>
        <w:pStyle w:val="FigurewithCaption"/>
      </w:pPr>
      <w:r>
        <w:rPr>
          <w:i/>
        </w:rPr>
        <w:t xml:space="preserve">Figure 2: </w:t>
      </w:r>
      <w:r>
        <w:rPr>
          <w:i/>
        </w:rPr>
        <w:t>Results from healthy vs cancer classification models built using virome signatures, bac</w:t>
      </w:r>
      <w:r>
        <w:rPr>
          <w:i/>
        </w:rPr>
        <w:t>terial 16S rRNA gene sequence signatures, whole metagenomic signatures, and a combination of virome and 16S rRNA gene sequence signatures. A) An example ROC curve for visualizing the performance of each of the models for classifying stool as coming from ei</w:t>
      </w:r>
      <w:r>
        <w:rPr>
          <w:i/>
        </w:rPr>
        <w:t>ther an individual with a cancerous or healthy colon. B) Quantification of the AUC variation for each model, and how it compared to each of the other models based on 15 iterations. A pairwise Wilcoxon test with a false discovery rate multiple hypothesis co</w:t>
      </w:r>
      <w:r>
        <w:rPr>
          <w:i/>
        </w:rPr>
        <w:t xml:space="preserve">rrection demonstrated that all models are significantly different from each other (p-value &lt; 0.01). C) Mean decrease in accuracy (measurement of importance) of each operational taxonomic unit within the 16S rRNA gene classification model when removed from </w:t>
      </w:r>
      <w:r>
        <w:rPr>
          <w:i/>
        </w:rPr>
        <w:t>the classification model. Mean is represented by a point, and bars represent standard error. D) Mean decrease in accuracy of each operational virus unit in the virome classification model. E) Mean decrease in accuracy of each operational genomic unit and o</w:t>
      </w:r>
      <w:r>
        <w:rPr>
          <w:i/>
        </w:rPr>
        <w:t>perational taxonomic unit in the model using both 16S rRNA gene and virome features.</w:t>
      </w:r>
    </w:p>
    <w:p w14:paraId="4B6241C4" w14:textId="7AE1F1AA" w:rsidR="002A11F6" w:rsidRDefault="00B07C2D">
      <w:pPr>
        <w:pStyle w:val="FigurewithCaption"/>
      </w:pPr>
      <w:r>
        <w:rPr>
          <w:i/>
        </w:rPr>
        <w:t xml:space="preserve">Figure 3: </w:t>
      </w:r>
      <w:r>
        <w:rPr>
          <w:i/>
        </w:rPr>
        <w:t>Lysogenic phage relative abundance in disease states. Phage OVUs were predicted to be either lytic or lysogenic, and the relative abundance of lysogenic phages was quantified and represented as a boxplot. No disease groups were statistically significant.</w:t>
      </w:r>
    </w:p>
    <w:p w14:paraId="7792AEF1" w14:textId="4900F98C" w:rsidR="002A11F6" w:rsidRDefault="00B07C2D">
      <w:pPr>
        <w:pStyle w:val="FigurewithCaption"/>
      </w:pPr>
      <w:r>
        <w:rPr>
          <w:i/>
        </w:rPr>
        <w:t xml:space="preserve">Figure 4: </w:t>
      </w:r>
      <w:r>
        <w:rPr>
          <w:i/>
        </w:rPr>
        <w:t>R</w:t>
      </w:r>
      <w:r>
        <w:rPr>
          <w:i/>
        </w:rPr>
        <w:t>elative abundance correlations between bacterial OTUs and virome OVUs. A) Pearson correlation coefficient values between all bacterial OTUs (x-axis) and viral OVUs (y-axis) with blue being positively correlated and red being negatively correlated. Bar plot</w:t>
      </w:r>
      <w:r>
        <w:rPr>
          <w:i/>
        </w:rPr>
        <w:t xml:space="preserve">s indicate the viral (left) and bacterial (bottom) operational unit importance in their colorectal cancer classification models, such that the most important units are in the top left corner. B) Magnification of the boxed region in </w:t>
      </w:r>
      <w:r>
        <w:rPr>
          <w:i/>
        </w:rPr>
        <w:lastRenderedPageBreak/>
        <w:t xml:space="preserve">panel (A), highlighting </w:t>
      </w:r>
      <w:r>
        <w:rPr>
          <w:i/>
        </w:rPr>
        <w:t>the correlation between the most important bacterial OTUs and virome OVUs. The most important operational units are in the top left corner of the heatmap, and the correlation scale is the same as panel (A). C) Histogram quantifying the frequencies of Pears</w:t>
      </w:r>
      <w:r>
        <w:rPr>
          <w:i/>
        </w:rPr>
        <w:t>on correlation coefficients between all bacterial OTUs and virome OVUs.</w:t>
      </w:r>
    </w:p>
    <w:p w14:paraId="41804C6F" w14:textId="45725430" w:rsidR="002A11F6" w:rsidRDefault="00B07C2D">
      <w:pPr>
        <w:pStyle w:val="FigurewithCaption"/>
      </w:pPr>
      <w:r>
        <w:rPr>
          <w:i/>
        </w:rPr>
        <w:t xml:space="preserve">Figure 5: </w:t>
      </w:r>
      <w:r>
        <w:rPr>
          <w:i/>
        </w:rPr>
        <w:t>Community network analysis utilizing predicted interactions between bacteria and phage operational genomic unit</w:t>
      </w:r>
      <w:r>
        <w:rPr>
          <w:i/>
        </w:rPr>
        <w:t>s. A) Visualization of the community network for our colorectal cancer cohort. B) Scatter plot illustrating the correlation between importance (mean decrease in accuracy) and the degree of centrality for each OVU. A linear regression line was fit to illust</w:t>
      </w:r>
      <w:r>
        <w:rPr>
          <w:i/>
        </w:rPr>
        <w:t>rate the correlation (blue) which was found to be statistically significantly and weakly correlated (p-value = 0.00409, R = 0.176).</w:t>
      </w:r>
    </w:p>
    <w:p w14:paraId="2F453237" w14:textId="4E149798" w:rsidR="002A11F6" w:rsidRDefault="00B07C2D">
      <w:pPr>
        <w:pStyle w:val="FigurewithCaption"/>
      </w:pPr>
      <w:r>
        <w:rPr>
          <w:i/>
        </w:rPr>
        <w:t xml:space="preserve">Figure 6: </w:t>
      </w:r>
      <w:r>
        <w:rPr>
          <w:i/>
        </w:rPr>
        <w:t>Final working hypothesis from this study. These panels summarize our thoughts on our results and represent interesting future directions that we predict will build on the presented work. A) Basic model illustrating the connections between the virome, bacte</w:t>
      </w:r>
      <w:r>
        <w:rPr>
          <w:i/>
        </w:rPr>
        <w:t>rial communities, and colorectal cancer. B) Working hypothesis of how the bacteriophage community is associated with colorectal cancer and the associated bacterial community.</w:t>
      </w:r>
    </w:p>
    <w:p w14:paraId="12F6F88D" w14:textId="77777777" w:rsidR="002A11F6" w:rsidRDefault="00B07C2D">
      <w:pPr>
        <w:pStyle w:val="Heading1"/>
      </w:pPr>
      <w:bookmarkStart w:id="29" w:name="supplemental-figure-legends"/>
      <w:bookmarkEnd w:id="29"/>
      <w:r>
        <w:t>Supplemental Figure Legends</w:t>
      </w:r>
    </w:p>
    <w:p w14:paraId="27AA03A1" w14:textId="77777777" w:rsidR="002A11F6" w:rsidRDefault="002A11F6">
      <w:pPr>
        <w:pStyle w:val="FirstParagraph"/>
      </w:pPr>
    </w:p>
    <w:p w14:paraId="4059F920" w14:textId="07087A1D" w:rsidR="002A11F6" w:rsidRDefault="00B07C2D">
      <w:pPr>
        <w:pStyle w:val="FigurewithCaption"/>
      </w:pPr>
      <w:r>
        <w:rPr>
          <w:i/>
        </w:rPr>
        <w:t xml:space="preserve">Figure S1: </w:t>
      </w:r>
      <w:r>
        <w:rPr>
          <w:i/>
        </w:rPr>
        <w:t>Basic Quality Control Metrics. A) VLP genomic DNA yi</w:t>
      </w:r>
      <w:r>
        <w:rPr>
          <w:i/>
        </w:rPr>
        <w:t>eld from all sequenced samples. Each bar represents a sample which is grouped and colored by its associated disease group or no-DNA negative control. B) Sequence yield following quality control including quality score filtering and human decontamination. D</w:t>
      </w:r>
      <w:r>
        <w:rPr>
          <w:i/>
        </w:rPr>
        <w:t>ashed line indicates rarefaction level (</w:t>
      </w:r>
      <m:oMath>
        <m:sSup>
          <m:sSupPr>
            <m:ctrlPr>
              <w:rPr>
                <w:rFonts w:ascii="Cambria Math" w:hAnsi="Cambria Math"/>
              </w:rPr>
            </m:ctrlPr>
          </m:sSupPr>
          <m:e>
            <m:r>
              <w:rPr>
                <w:rFonts w:ascii="Cambria Math" w:hAnsi="Cambria Math"/>
              </w:rPr>
              <m:t>10</m:t>
            </m:r>
          </m:e>
          <m:sup>
            <m:r>
              <w:rPr>
                <w:rFonts w:ascii="Cambria Math" w:hAnsi="Cambria Math"/>
              </w:rPr>
              <m:t>6</m:t>
            </m:r>
          </m:sup>
        </m:sSup>
      </m:oMath>
      <w:r>
        <w:rPr>
          <w:i/>
        </w:rPr>
        <w:t xml:space="preserve"> reads) in which all samples with lower sequence yields less than this level were excluded from downstream analysis. After rarefaction and removal of samples with less than </w:t>
      </w:r>
      <m:oMath>
        <m:sSup>
          <m:sSupPr>
            <m:ctrlPr>
              <w:rPr>
                <w:rFonts w:ascii="Cambria Math" w:hAnsi="Cambria Math"/>
              </w:rPr>
            </m:ctrlPr>
          </m:sSupPr>
          <m:e>
            <m:r>
              <w:rPr>
                <w:rFonts w:ascii="Cambria Math" w:hAnsi="Cambria Math"/>
              </w:rPr>
              <m:t>10</m:t>
            </m:r>
          </m:e>
          <m:sup>
            <m:r>
              <w:rPr>
                <w:rFonts w:ascii="Cambria Math" w:hAnsi="Cambria Math"/>
              </w:rPr>
              <m:t>6</m:t>
            </m:r>
          </m:sup>
        </m:sSup>
      </m:oMath>
      <w:r>
        <w:rPr>
          <w:i/>
        </w:rPr>
        <w:t xml:space="preserve"> reads, 27 healthy, 28 cancerous, 27 </w:t>
      </w:r>
      <w:r>
        <w:rPr>
          <w:i/>
        </w:rPr>
        <w:t>adenomatous, and 3 negative control samples remained.</w:t>
      </w:r>
    </w:p>
    <w:p w14:paraId="4A2B9124" w14:textId="6B41607B" w:rsidR="002A11F6" w:rsidRDefault="00B07C2D">
      <w:pPr>
        <w:pStyle w:val="FigurewithCaption"/>
      </w:pPr>
      <w:r>
        <w:rPr>
          <w:i/>
        </w:rPr>
        <w:t xml:space="preserve">Figure S2: </w:t>
      </w:r>
      <w:r>
        <w:rPr>
          <w:i/>
        </w:rPr>
        <w:t xml:space="preserve">Length and coverage statistics. A) Heated scatter plot demonstrating the distribution of contig </w:t>
      </w:r>
      <w:r>
        <w:rPr>
          <w:i/>
        </w:rPr>
        <w:t>coverage (number of sequences mapping to each contig) and contig length for the virus metagenomic sample set. B) Scatter plot illustrating the distribution of operational viral unit (OVU) length and sequence coverage for the virus metagenomic sample set. C</w:t>
      </w:r>
      <w:r>
        <w:rPr>
          <w:i/>
        </w:rPr>
        <w:t xml:space="preserve">) Heated scatter plot demonstrating the distribution of contig coverage and length for the whole metagenomic sample set. D) Scatter plot illustrating the distribution of operational genomic unit (OGU) length and sequence coverage for the whole metagenomic </w:t>
      </w:r>
      <w:r>
        <w:rPr>
          <w:i/>
        </w:rPr>
        <w:t>sample set.</w:t>
      </w:r>
    </w:p>
    <w:p w14:paraId="3E658417" w14:textId="461F467E" w:rsidR="002A11F6" w:rsidRDefault="00B07C2D">
      <w:pPr>
        <w:pStyle w:val="FigurewithCaption"/>
      </w:pPr>
      <w:r>
        <w:rPr>
          <w:i/>
        </w:rPr>
        <w:t xml:space="preserve">Figure S3: </w:t>
      </w:r>
      <w:r>
        <w:rPr>
          <w:i/>
        </w:rPr>
        <w:t>Operational genomic unit composition stats. A) Strip chart demonstrating the length and frequency of contigs within each operational gen</w:t>
      </w:r>
      <w:r>
        <w:rPr>
          <w:i/>
        </w:rPr>
        <w:t xml:space="preserve">omic unit of the virome sample set. The y-axis is the operational genomic unit identifier, and x-axis is </w:t>
      </w:r>
      <w:r>
        <w:rPr>
          <w:i/>
        </w:rPr>
        <w:lastRenderedPageBreak/>
        <w:t>the length of each contig, and each dot represents a contig found within the specified operational genomic unit. B) Density plot (analogous to histogra</w:t>
      </w:r>
      <w:r>
        <w:rPr>
          <w:i/>
        </w:rPr>
        <w:t>m) of the number of virome operational genomic units containing the specific number of contigs, as indicated by the x-axis. C-D) Sample plots as panels C and D, but for the whole metagenomic sample set.</w:t>
      </w:r>
    </w:p>
    <w:p w14:paraId="4828878F" w14:textId="38E03AB2" w:rsidR="002A11F6" w:rsidRDefault="00B07C2D">
      <w:pPr>
        <w:pStyle w:val="FigurewithCaption"/>
      </w:pPr>
      <w:r>
        <w:rPr>
          <w:i/>
        </w:rPr>
        <w:t xml:space="preserve">Figure S4: </w:t>
      </w:r>
      <w:r>
        <w:rPr>
          <w:i/>
        </w:rPr>
        <w:t>Diversity calculations comparing cancer states of the colorectal virome, based on relative abundance of operational genomic units in each sample. A) NMDS ordination of community samples, colored for cancerous (green), pre-canc</w:t>
      </w:r>
      <w:r>
        <w:rPr>
          <w:i/>
        </w:rPr>
        <w:t>erous (red), and healthy (yellow). B) Differences in means between disease group centroids with 95% confidence intervals based on an ANOSIM test with a post hoc multivariate Tukey test. Comparisons (indicated on y-axis) in which the intervals cross the zer</w:t>
      </w:r>
      <w:r>
        <w:rPr>
          <w:i/>
        </w:rPr>
        <w:t>o mean difference line (dashed line) were not significantly different. C) Shannon diversity and D) richness alpha diversity quantification comparing pre-cancerous (grey), cancerous (red), and healthy (tan) states.</w:t>
      </w:r>
    </w:p>
    <w:p w14:paraId="5A4C998D" w14:textId="0D38A039" w:rsidR="002A11F6" w:rsidRDefault="00B07C2D">
      <w:pPr>
        <w:pStyle w:val="FigurewithCaption"/>
      </w:pPr>
      <w:r>
        <w:rPr>
          <w:i/>
        </w:rPr>
        <w:t xml:space="preserve">Figure S5: </w:t>
      </w:r>
      <w:r>
        <w:rPr>
          <w:i/>
        </w:rPr>
        <w:t>Beta-diversity analysis comparing Bray-Curtis dissimilarity between disease state and negative control community s</w:t>
      </w:r>
      <w:r>
        <w:rPr>
          <w:i/>
        </w:rPr>
        <w:t>tructures that were captured following sequence rarefaction. Differences in means between disease group centroids with 95% confidence intervals based on an ANOSIM test with a post hoc multivariate Tukey test. Comparisons in which the intervals cross the ze</w:t>
      </w:r>
      <w:r>
        <w:rPr>
          <w:i/>
        </w:rPr>
        <w:t>ro mean difference line (dashed line) were not significantly different.</w:t>
      </w:r>
    </w:p>
    <w:p w14:paraId="201DD54F" w14:textId="50677137" w:rsidR="002A11F6" w:rsidRDefault="00B07C2D">
      <w:pPr>
        <w:pStyle w:val="FigurewithCaption"/>
      </w:pPr>
      <w:r>
        <w:rPr>
          <w:i/>
        </w:rPr>
        <w:t xml:space="preserve">Figure S6: </w:t>
      </w:r>
      <w:r>
        <w:rPr>
          <w:i/>
        </w:rPr>
        <w:t xml:space="preserve">Comparison of bacterial 16S rRNA classification models with and without OTUs whose median relative abundance </w:t>
      </w:r>
      <w:proofErr w:type="gramStart"/>
      <w:r>
        <w:rPr>
          <w:i/>
        </w:rPr>
        <w:t>are</w:t>
      </w:r>
      <w:proofErr w:type="gramEnd"/>
      <w:r>
        <w:rPr>
          <w:i/>
        </w:rPr>
        <w:t xml:space="preserve"> greater than zero. A) Classification model performance (measured as area under the curve) for bacteria models using 16S rRNA data both with a</w:t>
      </w:r>
      <w:r>
        <w:rPr>
          <w:i/>
        </w:rPr>
        <w:t>nd without filtering of samples whose median was zero. Significance was calculated using a Wilcoxon rank sum test, and the resulting p-value is shown. The random area under the curve (0.5) is marked with a dashed line. B) Relative abundance of the six bact</w:t>
      </w:r>
      <w:r>
        <w:rPr>
          <w:i/>
        </w:rPr>
        <w:t>erial OTUs removed when filtered for OTUs with median relative abundance of zero. OTU relative abundance is separated by healthy (red) and cancerous (grey) samples. Relative abundance of 1% is marked by the dashed line.</w:t>
      </w:r>
    </w:p>
    <w:p w14:paraId="41ED1A96" w14:textId="2B6F21E6" w:rsidR="002A11F6" w:rsidRDefault="00B07C2D">
      <w:pPr>
        <w:pStyle w:val="FigurewithCaption"/>
      </w:pPr>
      <w:r>
        <w:rPr>
          <w:i/>
        </w:rPr>
        <w:t xml:space="preserve">Figure S7: </w:t>
      </w:r>
      <w:r>
        <w:rPr>
          <w:i/>
        </w:rPr>
        <w:t>Transition of colorectal cancer importance through disease progression. A)</w:t>
      </w:r>
      <w:r>
        <w:rPr>
          <w:i/>
        </w:rPr>
        <w:t xml:space="preserve"> Virus and B) 16S rRNA gene model performance (AUC) when discriminating all binary combinations of disease types. Blue line represents mean performance from multiple random iterations. C-E) Top ten important phage OVUs when classifying each combination of </w:t>
      </w:r>
      <w:r>
        <w:rPr>
          <w:i/>
        </w:rPr>
        <w:t>disease state, as measured by the mean decrease in accuracy metric. Mean is represented by a point, and bars represent standard error. Disease comparison is specified in the top left corner of each panel. F-H) Top ten important bacterial 16S rRNA gene OTUs</w:t>
      </w:r>
      <w:r>
        <w:rPr>
          <w:i/>
        </w:rPr>
        <w:t xml:space="preserve"> for classifying each disease state combination.</w:t>
      </w:r>
    </w:p>
    <w:p w14:paraId="6AD97B84" w14:textId="61744301" w:rsidR="002A11F6" w:rsidRDefault="00B07C2D">
      <w:pPr>
        <w:pStyle w:val="FigurewithCaption"/>
      </w:pPr>
      <w:r>
        <w:rPr>
          <w:i/>
        </w:rPr>
        <w:t xml:space="preserve">Figure S8: </w:t>
      </w:r>
      <w:r>
        <w:rPr>
          <w:i/>
        </w:rPr>
        <w:t>ROC curves from A) virome and B) bacterial 16S three-class random forest models tune</w:t>
      </w:r>
      <w:r>
        <w:rPr>
          <w:i/>
        </w:rPr>
        <w:t>d on mean AUC. Each curve represents the ability of the specified class to be classified against the other two classes. C) Quantification of the mean AUC variation for each model based on 10 model iterations. A pairwise Wilcoxon test with a Bonferroni mult</w:t>
      </w:r>
      <w:r>
        <w:rPr>
          <w:i/>
        </w:rPr>
        <w:t xml:space="preserve">iple hypothesis correction demonstrated that the models are </w:t>
      </w:r>
      <w:r>
        <w:rPr>
          <w:i/>
        </w:rPr>
        <w:lastRenderedPageBreak/>
        <w:t>significantly different (alpha = 0.01). D) Mean decrease in accuracy when virome operational genomic units and E) bacterial 16S OTUs are removed from the respective three-class classification mode</w:t>
      </w:r>
      <w:r>
        <w:rPr>
          <w:i/>
        </w:rPr>
        <w:t>ls. Results based on 25 iterations. F) Relative abundance of the six most important virome OVUs in the model, with the most important on the right. Line indicates abundance mean.</w:t>
      </w:r>
    </w:p>
    <w:p w14:paraId="346455BD" w14:textId="443B5E05" w:rsidR="002A11F6" w:rsidRDefault="002A11F6">
      <w:pPr>
        <w:pStyle w:val="ImageCaption"/>
      </w:pPr>
      <w:bookmarkStart w:id="30" w:name="_GoBack"/>
      <w:bookmarkEnd w:id="30"/>
    </w:p>
    <w:sectPr w:rsidR="002A11F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7EC22" w14:textId="77777777" w:rsidR="00000000" w:rsidRDefault="00B07C2D">
      <w:pPr>
        <w:spacing w:after="0"/>
      </w:pPr>
      <w:r>
        <w:separator/>
      </w:r>
    </w:p>
  </w:endnote>
  <w:endnote w:type="continuationSeparator" w:id="0">
    <w:p w14:paraId="58B8DF24" w14:textId="77777777" w:rsidR="00000000" w:rsidRDefault="00B07C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imes Roman">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3A04F6" w14:textId="77777777" w:rsidR="002A11F6" w:rsidRDefault="00B07C2D">
      <w:r>
        <w:separator/>
      </w:r>
    </w:p>
  </w:footnote>
  <w:footnote w:type="continuationSeparator" w:id="0">
    <w:p w14:paraId="1E857ED7" w14:textId="77777777" w:rsidR="002A11F6" w:rsidRDefault="00B07C2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32021D"/>
    <w:multiLevelType w:val="multilevel"/>
    <w:tmpl w:val="BFF6F6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DC80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A11F6"/>
    <w:rsid w:val="004E29B3"/>
    <w:rsid w:val="00590D07"/>
    <w:rsid w:val="00784D58"/>
    <w:rsid w:val="008D6863"/>
    <w:rsid w:val="009B0898"/>
    <w:rsid w:val="00B07C2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47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9B0898"/>
    <w:pPr>
      <w:spacing w:after="0"/>
    </w:pPr>
    <w:rPr>
      <w:rFonts w:ascii="Lucida Grande" w:hAnsi="Lucida Grande"/>
      <w:sz w:val="18"/>
      <w:szCs w:val="18"/>
    </w:rPr>
  </w:style>
  <w:style w:type="character" w:customStyle="1" w:styleId="BalloonTextChar">
    <w:name w:val="Balloon Text Char"/>
    <w:basedOn w:val="DefaultParagraphFont"/>
    <w:link w:val="BalloonText"/>
    <w:rsid w:val="009B089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22</Pages>
  <Words>8919</Words>
  <Characters>50843</Characters>
  <Application>Microsoft Macintosh Word</Application>
  <DocSecurity>0</DocSecurity>
  <Lines>423</Lines>
  <Paragraphs>119</Paragraphs>
  <ScaleCrop>false</ScaleCrop>
  <Company/>
  <LinksUpToDate>false</LinksUpToDate>
  <CharactersWithSpaces>59643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Diagnostic Potential &amp; Interactive Dynamics of the Colorectal Cancer Virome</dc:title>
  <dc:creator/>
  <cp:lastModifiedBy>Geoffrey Hannigan</cp:lastModifiedBy>
  <cp:revision>3</cp:revision>
  <dcterms:created xsi:type="dcterms:W3CDTF">2018-10-11T00:04:00Z</dcterms:created>
  <dcterms:modified xsi:type="dcterms:W3CDTF">2018-10-11T00:14:00Z</dcterms:modified>
</cp:coreProperties>
</file>