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df" ContentType="application/pdf"/>
  <Override PartName="/word/media/rId59.pdf" ContentType="application/pdf"/>
  <Override PartName="/word/media/rId58.pdf" ContentType="application/pdf"/>
  <Override PartName="/word/media/rId57.pdf" ContentType="application/pdf"/>
  <Override PartName="/word/media/rId53.pdf" ContentType="application/pdf"/>
  <Override PartName="/word/media/rId61.pdf" ContentType="application/pdf"/>
  <Override PartName="/word/media/rId62.pdf" ContentType="application/pdf"/>
  <Override PartName="/word/media/rId54.pdf" ContentType="application/pdf"/>
  <Override PartName="/word/media/rId52.pdf" ContentType="application/pdf"/>
  <Override PartName="/word/media/rId5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importance"/>
      <w:bookmarkEnd w:id="22"/>
      <w:r>
        <w:t xml:space="preserve">Importance</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(bacteria, human, fungal,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including, for example,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We supplemented the previous study findings</w:t>
      </w:r>
      <w:r>
        <w:t xml:space="preserve"> </w:t>
      </w:r>
      <w:r>
        <w:rPr>
          <w:b/>
        </w:rPr>
        <w:t xml:space="preserve">(Table S1)</w:t>
      </w:r>
      <w:r>
        <w:t xml:space="preserve"> </w:t>
      </w:r>
      <w:r>
        <w:t xml:space="preserve">and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has been confirmed</w:t>
      </w:r>
      <w:r>
        <w:t xml:space="preserve"> </w:t>
      </w:r>
      <w:r>
        <w:rPr>
          <w:b/>
        </w:rPr>
        <w:t xml:space="preserve">(Table S1)</w:t>
      </w:r>
      <w:r>
        <w:t xml:space="preserve">, we interpret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While the whole metagenomic shotgun sequence samples were not subjected to purification, they primarily consisted of bacteria, quantified with an average viral relative abundance of 0.4%</w:t>
      </w:r>
      <w:r>
        <w:t xml:space="preserve"> </w:t>
      </w:r>
      <w:r>
        <w:rPr>
          <w:b/>
        </w:rPr>
        <w:t xml:space="preserve">(Table S1)</w:t>
      </w:r>
      <w:r>
        <w:t xml:space="preserve"> </w:t>
      </w:r>
      <w:r>
        <w:t xml:space="preserve">(13, 14, 38, 39)</w:t>
      </w:r>
      <w:r>
        <w:t xml:space="preserve">. We again supplemented these findings and found that only 2% (6 / 280 operational genomic units) of bacteria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and the area under its receiver operating characteristic (ROC) curve was 0.846, the model sensitivity was 0.829, and specificity was 0.767</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gut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the data still provides an interesting "case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case observation with too small of a sample size to make more substantial claims. This is however an area for future investigation.</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here because one of the subjects was not sampled at the initial time point. The lack of statistical confidence was again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https://github.com/SchlossLab/Hannigan_ConjunctisViribus_mSystems_2017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s"/>
      <w:bookmarkEnd w:id="51"/>
      <w:r>
        <w:t xml:space="preserve">Figures</w:t>
      </w:r>
    </w:p>
    <w:p>
      <w:pPr>
        <w:pStyle w:val="FigureWithCaption"/>
      </w:pPr>
      <w:r>
        <w:drawing>
          <wp:inline>
            <wp:extent cx="3810000" cy="2540000"/>
            <wp:effectExtent b="0" l="0" r="0" t="0"/>
            <wp:docPr descr="Summary of Multi-Study Network Model. (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 blastx;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 " id="1" name="Picture"/>
            <a:graphic>
              <a:graphicData uri="http://schemas.openxmlformats.org/drawingml/2006/picture">
                <pic:pic>
                  <pic:nvPicPr>
                    <pic:cNvPr descr="../figures/rocCurve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drawing>
          <wp:inline>
            <wp:extent cx="3810000" cy="2540000"/>
            <wp:effectExtent b="0" l="0" r="0" t="0"/>
            <wp:docPr descr="Impact of Diet and Obesity on Gut Network Structure. (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 , because one of the was only sampled post-diet, providing us data for this analysis but not allowing us to compare to a baseline for figure .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 " id="1" name="Picture"/>
            <a:graphic>
              <a:graphicData uri="http://schemas.openxmlformats.org/drawingml/2006/picture">
                <pic:pic>
                  <pic:nvPicPr>
                    <pic:cNvPr descr="../figures/dietnetwork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rPr>
          <w:i/>
        </w:rPr>
        <w:t xml:space="preserve"> </w:t>
      </w:r>
    </w:p>
    <w:p>
      <w:pPr>
        <w:pStyle w:val="FigureWithCaption"/>
      </w:pPr>
      <w:r>
        <w:drawing>
          <wp:inline>
            <wp:extent cx="3810000" cy="2540000"/>
            <wp:effectExtent b="0" l="0" r="0" t="0"/>
            <wp:docPr descr="Intrapersonal vs Interpersonal Network Dissimilarity Across Different Human Systems. (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 ,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 id="1" name="Picture"/>
            <a:graphic>
              <a:graphicData uri="http://schemas.openxmlformats.org/drawingml/2006/picture">
                <pic:pic>
                  <pic:nvPicPr>
                    <pic:cNvPr descr="../figures/intrapersonal_diversity.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drawing>
          <wp:inline>
            <wp:extent cx="3810000" cy="2540000"/>
            <wp:effectExtent b="0" l="0" r="0" t="0"/>
            <wp:docPr descr="Impact of Skin Micro-Environment on Microbiome Network Structure. (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 .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 id="1" name="Picture"/>
            <a:graphic>
              <a:graphicData uri="http://schemas.openxmlformats.org/drawingml/2006/picture">
                <pic:pic>
                  <pic:nvPicPr>
                    <pic:cNvPr descr="../figures/skinplotresul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6" w:name="supplemental-figures"/>
      <w:bookmarkEnd w:id="56"/>
      <w:r>
        <w:t xml:space="preserve">Supplemental Figures</w:t>
      </w:r>
    </w:p>
    <w:p>
      <w:pPr>
        <w:pStyle w:val="FirstParagraph"/>
      </w:pPr>
    </w:p>
    <w:p>
      <w:pPr>
        <w:pStyle w:val="FigureWithCaption"/>
      </w:pPr>
      <w:r>
        <w:drawing>
          <wp:inline>
            <wp:extent cx="3810000" cy="2540000"/>
            <wp:effectExtent b="0" l="0" r="0" t="0"/>
            <wp:docPr descr="Sequencing Depth Summary. Number of sequences that aligned to (A) Phage and (B) Bacteria operational genomic units per sample and colored by study." id="1" name="Picture"/>
            <a:graphic>
              <a:graphicData uri="http://schemas.openxmlformats.org/drawingml/2006/picture">
                <pic:pic>
                  <pic:nvPicPr>
                    <pic:cNvPr descr="../figures/SequenceAbund.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drawing>
          <wp:inline>
            <wp:extent cx="3810000" cy="2540000"/>
            <wp:effectExtent b="0" l="0" r="0" t="0"/>
            <wp:docPr descr="Contig Summary Statistics. Scatter plot heat map with each hexagon representing the abundance of contigs. Contigs are organized by length on the x-axis and the number of aligned sequences on the y-axis." id="1" name="Picture"/>
            <a:graphic>
              <a:graphicData uri="http://schemas.openxmlformats.org/drawingml/2006/picture">
                <pic:pic>
                  <pic:nvPicPr>
                    <pic:cNvPr descr="../figures/ContigStats.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drawing>
          <wp:inline>
            <wp:extent cx="3810000" cy="2540000"/>
            <wp:effectExtent b="0" l="0" r="0" t="0"/>
            <wp:docPr descr="Operational Genomic Unit Summary Statistics. Scatter plot with operational genomic unit clusters organized by average contig length within the cluster on the x-axis and the number of contigs in the cluster on the y-axis. Operational genomic units of (A) bacteriophages and (B) bacteria are shown." id="1" name="Picture"/>
            <a:graphic>
              <a:graphicData uri="http://schemas.openxmlformats.org/drawingml/2006/picture">
                <pic:pic>
                  <pic:nvPicPr>
                    <pic:cNvPr descr="../figures/ClusterStats.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drawing>
          <wp:inline>
            <wp:extent cx="3810000" cy="2540000"/>
            <wp:effectExtent b="0" l="0" r="0" t="0"/>
            <wp:docPr descr="Summary information of validation dataset used in the interaction predictive model. 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 id="1" name="Picture"/>
            <a:graphic>
              <a:graphicData uri="http://schemas.openxmlformats.org/drawingml/2006/picture">
                <pic:pic>
                  <pic:nvPicPr>
                    <pic:cNvPr descr="../figures/BenchmarkDataset.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drawing>
          <wp:inline>
            <wp:extent cx="3810000" cy="2540000"/>
            <wp:effectExtent b="0" l="0" r="0" t="0"/>
            <wp:docPr descr="Structure of the interactive network. 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 id="1" name="Picture"/>
            <a:graphic>
              <a:graphicData uri="http://schemas.openxmlformats.org/drawingml/2006/picture">
                <pic:pic>
                  <pic:nvPicPr>
                    <pic:cNvPr descr="../figures/graphdatabasediagram.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drawing>
          <wp:inline>
            <wp:extent cx="3810000" cy="2540000"/>
            <wp:effectExtent b="0" l="0" r="0" t="0"/>
            <wp:docPr descr="Intrapersonal vs Interpersonal Dissimilarity of the Skin. 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 id="1" name="Picture"/>
            <a:graphic>
              <a:graphicData uri="http://schemas.openxmlformats.org/drawingml/2006/picture">
                <pic:pic>
                  <pic:nvPicPr>
                    <pic:cNvPr descr="../figures/intraallskin.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63" w:name="supplemental-tables"/>
      <w:bookmarkEnd w:id="63"/>
      <w:r>
        <w:t xml:space="preserve">Supplemental Tables</w:t>
      </w:r>
    </w:p>
    <w:p>
      <w:pPr>
        <w:pStyle w:val="TableCaption"/>
      </w:pPr>
      <w:r>
        <w:t xml:space="preserve">Summary of the primary quality control measures reported in the original publications of the viromes used in this current study.</w:t>
      </w:r>
    </w:p>
    <w:tbl>
      <w:tblPr>
        <w:tblStyle w:val="TableNormal"/>
        <w:tblW w:type="pct" w:w="5000.0"/>
        <w:tblLook w:firstRow="1"/>
        <w:tblCaption w:val="Summary of the primary quality control measures reported in the original publications of the viromes used in this current study."/>
      </w:tblPr>
      <w:tblGrid>
        <w:gridCol w:w="2122"/>
        <w:gridCol w:w="1469"/>
        <w:gridCol w:w="4327"/>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Virome Quality Control Measures</w:t>
            </w:r>
          </w:p>
        </w:tc>
      </w:tr>
      <w:tr>
        <w:tc>
          <w:p>
            <w:pPr>
              <w:pStyle w:val="Compact"/>
              <w:jc w:val="left"/>
            </w:pPr>
            <w:r>
              <w:t xml:space="preserve">Diet &amp; the Gut Virome</w:t>
            </w:r>
          </w:p>
        </w:tc>
        <w:tc>
          <w:p>
            <w:pPr>
              <w:pStyle w:val="Compact"/>
              <w:jc w:val="left"/>
            </w:pPr>
            <w:r>
              <w:t xml:space="preserve">Minot, 2011</w:t>
            </w:r>
          </w:p>
        </w:tc>
        <w:tc>
          <w:p>
            <w:pPr>
              <w:pStyle w:val="Compact"/>
              <w:jc w:val="left"/>
            </w:pPr>
            <w:r>
              <w:t xml:space="preserve">• 16S rRNA gene qPCR revealed reduction in bacterial DNA of at least 10,000X.</w:t>
            </w:r>
          </w:p>
        </w:tc>
      </w:tr>
      <w:tr>
        <w:tc>
          <w:p>
            <w:pStyle w:val="Compact"/>
          </w:p>
        </w:tc>
        <w:tc>
          <w:p>
            <w:pStyle w:val="Compact"/>
          </w:p>
        </w:tc>
        <w:tc>
          <w:p>
            <w:pPr>
              <w:pStyle w:val="Compact"/>
              <w:jc w:val="left"/>
            </w:pPr>
            <w:r>
              <w:t xml:space="preserve">• Alignment of shotgun sequences revealed 35X reduction in 16S rRNA gene alignments in virome compared to bacteria shotgun.</w:t>
            </w:r>
          </w:p>
        </w:tc>
      </w:tr>
      <w:tr>
        <w:tc>
          <w:p>
            <w:pStyle w:val="Compact"/>
          </w:p>
        </w:tc>
        <w:tc>
          <w:p>
            <w:pStyle w:val="Compact"/>
          </w:p>
        </w:tc>
        <w:tc>
          <w:p>
            <w:pPr>
              <w:pStyle w:val="Compact"/>
              <w:jc w:val="left"/>
            </w:pPr>
            <w:r>
              <w:t xml:space="preserve">• Electron microscopy and nucleic acid stain techniques visually confirmed lack of bacteria in virome samples.</w:t>
            </w:r>
          </w:p>
        </w:tc>
      </w:tr>
      <w:tr>
        <w:tc>
          <w:p>
            <w:pPr>
              <w:pStyle w:val="Compact"/>
              <w:jc w:val="left"/>
            </w:pPr>
            <w:r>
              <w:t xml:space="preserve">Skin Virome</w:t>
            </w:r>
          </w:p>
        </w:tc>
        <w:tc>
          <w:p>
            <w:pPr>
              <w:pStyle w:val="Compact"/>
              <w:jc w:val="left"/>
            </w:pPr>
            <w:r>
              <w:t xml:space="preserve">Hannigan, 2015</w:t>
            </w:r>
          </w:p>
        </w:tc>
        <w:tc>
          <w:p>
            <w:pPr>
              <w:pStyle w:val="Compact"/>
              <w:jc w:val="left"/>
            </w:pPr>
            <w:r>
              <w:t xml:space="preserve">• Significant reduction in reads mapping to 16S rRNA gene sequence, compared to bacteria shotgun dataset.</w:t>
            </w:r>
          </w:p>
        </w:tc>
      </w:tr>
      <w:tr>
        <w:tc>
          <w:p>
            <w:pStyle w:val="Compact"/>
          </w:p>
        </w:tc>
        <w:tc>
          <w:p>
            <w:pStyle w:val="Compact"/>
          </w:p>
        </w:tc>
        <w:tc>
          <w:p>
            <w:pPr>
              <w:pStyle w:val="Compact"/>
              <w:jc w:val="left"/>
            </w:pPr>
            <w:r>
              <w:t xml:space="preserve">• Significant reduction in reads mapping to human genome, compared to bacteria shotgun dataset.</w:t>
            </w:r>
          </w:p>
        </w:tc>
      </w:tr>
      <w:tr>
        <w:tc>
          <w:p>
            <w:pStyle w:val="Compact"/>
          </w:p>
        </w:tc>
        <w:tc>
          <w:p>
            <w:pStyle w:val="Compact"/>
          </w:p>
        </w:tc>
        <w:tc>
          <w:p>
            <w:pPr>
              <w:pStyle w:val="Compact"/>
              <w:jc w:val="left"/>
            </w:pPr>
            <w:r>
              <w:t xml:space="preserve">• Average viral relative abundance of 0.4% in bacterial shotgun dataset.</w:t>
            </w:r>
          </w:p>
        </w:tc>
      </w:tr>
      <w:tr>
        <w:tc>
          <w:p>
            <w:pPr>
              <w:pStyle w:val="Compact"/>
              <w:jc w:val="left"/>
            </w:pPr>
            <w:r>
              <w:t xml:space="preserve">Twin Gut Virome</w:t>
            </w:r>
          </w:p>
        </w:tc>
        <w:tc>
          <w:p>
            <w:pPr>
              <w:pStyle w:val="Compact"/>
              <w:jc w:val="left"/>
            </w:pPr>
            <w:r>
              <w:t xml:space="preserve">Reyes, 2010</w:t>
            </w:r>
          </w:p>
        </w:tc>
        <w:tc>
          <w:p>
            <w:pPr>
              <w:pStyle w:val="Compact"/>
              <w:jc w:val="left"/>
            </w:pPr>
            <w:r>
              <w:t xml:space="preserve">• Confirmation that 2.5% of bacterial shotgun reads mapped to virome, and 76% of virome reads matched the shotgun 2.5%.</w:t>
            </w:r>
          </w:p>
        </w:tc>
      </w:tr>
    </w:tbl>
    <w:p>
      <w:pPr>
        <w:pStyle w:val="Heading1"/>
      </w:pPr>
      <w:bookmarkStart w:id="64" w:name="references"/>
      <w:bookmarkEnd w:id="6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7dd0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df" /><Relationship Type="http://schemas.openxmlformats.org/officeDocument/2006/relationships/image" Id="rId59" Target="media/rId59.pdf" /><Relationship Type="http://schemas.openxmlformats.org/officeDocument/2006/relationships/image" Id="rId58" Target="media/rId58.pdf" /><Relationship Type="http://schemas.openxmlformats.org/officeDocument/2006/relationships/image" Id="rId57" Target="media/rId57.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62" Target="media/rId62.pdf" /><Relationship Type="http://schemas.openxmlformats.org/officeDocument/2006/relationships/image" Id="rId54" Target="media/rId54.pdf" /><Relationship Type="http://schemas.openxmlformats.org/officeDocument/2006/relationships/image" Id="rId52" Target="media/rId52.pdf" /><Relationship Type="http://schemas.openxmlformats.org/officeDocument/2006/relationships/image" Id="rId55" Target="media/rId5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