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which, in a healthy state, possess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go on to remain persistently colonized by the organism.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the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1c).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S1a &amp; S2b). We then ensured that each antibiotic class induced distinct shifts in community which significantly differed from one another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 Interestingly, our data indicated that streptomycin pretreatment may have a lower impact on community structure or the community could recover more quickly from these perturbations than the other antibiotic classes. Despite lower consistency of change to the structure of the microbiota, streptomycin still provided for equal suscpetibility to initial</w:t>
      </w:r>
      <w:r>
        <w:t xml:space="preserve"> </w:t>
      </w:r>
      <w:r>
        <w:rPr>
          <w:i/>
        </w:rPr>
        <w:t xml:space="preserve">C. difficile</w:t>
      </w:r>
      <w:r>
        <w:t xml:space="preserve"> </w:t>
      </w:r>
      <w:r>
        <w:t xml:space="preserve">colonization with both other pretreatments and nearly identical persistence trends to cefoperazone (Fig.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clindamycin-pretreated communities were significantly different from their within-group uninfected controls (</w:t>
      </w:r>
      <w:r>
        <w:rPr>
          <w:i/>
        </w:rPr>
        <w:t xml:space="preserve">p</w:t>
      </w:r>
      <w:r>
        <w:t xml:space="preserve"> </w:t>
      </w:r>
      <w:r>
        <w:t xml:space="preserve">= 0.014, Fig. S1d;</w:t>
      </w:r>
      <w:r>
        <w:t xml:space="preserve"> </w:t>
      </w:r>
      <w:r>
        <w:rPr>
          <w:i/>
        </w:rPr>
        <w:t xml:space="preserve">p</w:t>
      </w:r>
      <w:r>
        <w:t xml:space="preserve"> </w:t>
      </w:r>
      <w:r>
        <w:t xml:space="preserve">= 0.003, Fig. S1f). Infected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S4).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S5).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S3b; OOB = 11.11%).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rPr>
          <w:vertAlign w:val="superscript"/>
        </w:rP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categories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starch/sucrose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within 7 days (Fig. 1b),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1b).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abundances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1c).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33</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34</w:t>
      </w:r>
      <w:r>
        <w:t xml:space="preserve">. For example, this strategy has been observed in temperate lakes where conditionally rare microbes were found to be far more metabolically active than highly abundant taxa</w:t>
      </w:r>
      <w:r>
        <w:rPr>
          <w:vertAlign w:val="superscript"/>
        </w:rP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36</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42</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43</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44</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47</w:t>
      </w:r>
      <w:r>
        <w:t xml:space="preserve"> </w:t>
      </w:r>
      <w:r>
        <w:t xml:space="preserve">on a per library basis. Reads were quality trimmed using Sickle</w:t>
      </w:r>
      <w:r>
        <w:rPr>
          <w:vertAlign w:val="superscript"/>
        </w:rP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50</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32.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33.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34.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35.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36.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37.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38.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39.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40.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41.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42.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43.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44.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45.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46.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47.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48.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49.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fca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2017-06-18T23:34:10Z</dcterms:created>
  <dcterms:modified xsi:type="dcterms:W3CDTF">2017-06-18T23:34:10Z</dcterms:modified>
</cp:coreProperties>
</file>