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b/>
          <w:bCs/>
          <w:sz w:val="24"/>
          <w:szCs w:val="24"/>
        </w:rPr>
        <w:t>Title:</w:t>
      </w:r>
      <w:r>
        <w:rPr>
          <w:sz w:val="24"/>
          <w:szCs w:val="24"/>
        </w:rPr>
        <w:t xml:space="preserve"> </w:t>
      </w:r>
      <w:r>
        <w:rPr>
          <w:i/>
          <w:iCs/>
          <w:sz w:val="24"/>
          <w:szCs w:val="24"/>
        </w:rPr>
        <w:t xml:space="preserve">Clostridium difficile </w:t>
      </w:r>
      <w:r>
        <w:rPr>
          <w:sz w:val="24"/>
          <w:szCs w:val="24"/>
        </w:rPr>
        <w:t>differentially alters the structure and metabolism of distinct cecal microbiomes to promote persistent colonization during infection</w:t>
      </w:r>
    </w:p>
    <w:p>
      <w:pPr>
        <w:pStyle w:val="Normal"/>
        <w:rPr/>
      </w:pPr>
      <w:bookmarkStart w:id="0" w:name="__DdeLink__27_418345950"/>
      <w:r>
        <w:rPr>
          <w:b/>
          <w:bCs/>
          <w:sz w:val="24"/>
          <w:szCs w:val="24"/>
        </w:rPr>
        <w:t>Shortened Title:</w:t>
      </w:r>
      <w:r>
        <w:rPr>
          <w:sz w:val="24"/>
          <w:szCs w:val="24"/>
        </w:rPr>
        <w:t xml:space="preserve"> </w:t>
      </w:r>
      <w:r>
        <w:rPr>
          <w:i/>
          <w:iCs/>
          <w:sz w:val="24"/>
          <w:szCs w:val="24"/>
        </w:rPr>
        <w:t>Clostridium difficile</w:t>
      </w:r>
      <w:bookmarkEnd w:id="0"/>
      <w:r>
        <w:rPr>
          <w:sz w:val="24"/>
          <w:szCs w:val="24"/>
        </w:rPr>
        <w:t xml:space="preserve"> infection and gut microbiome multi-omics</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pPr>
      <w:r>
        <w:rPr>
          <w:b/>
          <w:bCs/>
          <w:sz w:val="24"/>
          <w:szCs w:val="24"/>
        </w:rPr>
        <w:t>Corresponding Author:</w:t>
      </w:r>
      <w:r>
        <w:rPr>
          <w:sz w:val="24"/>
          <w:szCs w:val="24"/>
        </w:rPr>
        <w:t xml:space="preserve"> Patrick D. Schloss</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position w:val="0"/>
          <w:sz w:val="24"/>
          <w:vertAlign w:val="baseline"/>
        </w:rPr>
      </w:pPr>
      <w:bookmarkStart w:id="1" w:name="__DdeLink__27_258085862"/>
      <w:bookmarkEnd w:id="1"/>
      <w:r>
        <w:rPr>
          <w:position w:val="0"/>
          <w:sz w:val="24"/>
          <w:sz w:val="24"/>
          <w:szCs w:val="24"/>
          <w:vertAlign w:val="baseline"/>
        </w:rPr>
        <w:t>Patrick D. Schloss – pschloss@umich.edu</w:t>
      </w:r>
    </w:p>
    <w:p>
      <w:pPr>
        <w:pStyle w:val="Heading3"/>
        <w:rPr/>
      </w:pPr>
      <w:bookmarkStart w:id="2" w:name="abstract"/>
      <w:bookmarkEnd w:id="2"/>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3" w:name="introduction"/>
      <w:bookmarkEnd w:id="3"/>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established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4" w:name="results"/>
      <w:bookmarkEnd w:id="4"/>
      <w:r>
        <w:rPr/>
        <w:t>Results</w:t>
      </w:r>
    </w:p>
    <w:p>
      <w:pPr>
        <w:pStyle w:val="Normal"/>
        <w:rPr/>
      </w:pPr>
      <w:r>
        <w:rPr>
          <w:b/>
        </w:rPr>
        <w:t>Distinct antibiotic pretreatments are associated with different patterns of clearance following primary infection.</w:t>
      </w:r>
      <w:r>
        <w:rPr/>
        <w:t xml:space="preserve"> Conventionally-reared SPF mice were pretreated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spectrum of activity,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the toxigenic </w:t>
      </w:r>
      <w:r>
        <w:rPr>
          <w:i/>
        </w:rPr>
        <w:t>C. difficile</w:t>
      </w:r>
      <w:r>
        <w:rPr/>
        <w:t xml:space="preserve"> strain 630 was based on its moderate clinical severity in mouse models [20], previous studies of </w:t>
      </w:r>
      <w:r>
        <w:rPr>
          <w:i/>
        </w:rPr>
        <w:t>in vitro</w:t>
      </w:r>
      <w:r>
        <w:rPr/>
        <w:t xml:space="preserve"> metabolism [21], and well-annotated genome [22]. Briefly, mice were pretreated with the respective antibiotic and were subsequently challenged with ~1x10</w:t>
      </w:r>
      <w:r>
        <w:rPr>
          <w:vertAlign w:val="superscript"/>
        </w:rPr>
        <w:t>3</w:t>
      </w:r>
      <w:r>
        <w:rPr/>
        <w:t xml:space="preserve"> </w:t>
      </w:r>
      <w:r>
        <w:rPr>
          <w:i/>
        </w:rPr>
        <w:t>C. difficile</w:t>
      </w:r>
      <w:r>
        <w:rPr/>
        <w:t xml:space="preserve"> str. 630 spores via oral gavage (Fig. 1A). We then monitored for disease over the following 10 days and the carriage of </w:t>
      </w:r>
      <w:r>
        <w:rPr>
          <w:i/>
        </w:rPr>
        <w:t>C. difficile</w:t>
      </w:r>
      <w:r>
        <w:rPr/>
        <w:t xml:space="preserve"> in feces over time. In each antibiotic pretreatment model, we observed equally high levels of </w:t>
      </w:r>
      <w:r>
        <w:rPr>
          <w:i/>
        </w:rPr>
        <w:t>C. difficile</w:t>
      </w:r>
      <w:r>
        <w:rPr/>
        <w:t xml:space="preserve"> colonization on the day after infection; however, over the following 8 days, only clindamycin-pretreated mice cleared the infection while the other two pretreatments remained highly colonized (Fig. 1B).</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i/>
        </w:rPr>
        <w:t>C. difficile</w:t>
      </w:r>
      <w:r>
        <w:rPr>
          <w:b/>
        </w:rPr>
        <w:t xml:space="preserve"> differentially expresses virulence factors across separate antibiotic pretreatments.</w:t>
      </w:r>
      <w:r>
        <w:rPr/>
        <w:t xml:space="preserve"> We hypothesized that the clindamycin-pretreated mice cleared the infection while animals in the other groups did not because the pretreated microbiota occupied niche space that with greater overlap with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spore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and utilized this time period for the remainder of experiments. This end point corresponded with a previous study where </w:t>
      </w:r>
      <w:r>
        <w:rPr>
          <w:i/>
        </w:rPr>
        <w:t>C. difficile</w:t>
      </w:r>
      <w:r>
        <w:rPr/>
        <w:t xml:space="preserve"> reached maximum cecal vegetative cell load with few detectable spores [23].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[21]. Despite having similar vegetative </w:t>
      </w:r>
      <w:r>
        <w:rPr>
          <w:i/>
        </w:rPr>
        <w:t>C. difficile</w:t>
      </w:r>
      <w:r>
        <w:rPr/>
        <w:t xml:space="preserve"> load, varying levels of both cfu due to spores and toxin titer were observed across each of the antibiotic pretreatments. These results showed that </w:t>
      </w:r>
      <w:r>
        <w:rPr>
          <w:i/>
        </w:rPr>
        <w:t>C. difficile</w:t>
      </w:r>
      <w:r>
        <w:rPr/>
        <w:t xml:space="preserve"> colonized different antibiotic-pretreated mice to consistently high levels, and the distinct pretreatments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S2B).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[24],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S3 &amp; S5). These results demonstrated that each pretreatment lead to distinct susceptible metabolomic environments.</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chiroâinositol, malonate, erythritol, 4âguanidinobutanoate,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Nâmethylpipecolate was the only metabolite we identified that consistently decreased during antibiotic pretreatment. This molecule is a by-product of amino acid catabolism and is typically oxidized under normal conditions back into glycine [26]. These data support the hypothesis that amino acid catabolism is disrupted at a community-level following antibiotic pretreatment and may suggest open nutrient niches for </w:t>
      </w:r>
      <w:r>
        <w:rPr>
          <w:i/>
        </w:rPr>
        <w:t>C. difficile</w:t>
      </w:r>
      <w:r>
        <w:rPr/>
        <w:t xml:space="preserve">, a known fermenter of peptides [27].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Nâcarbamoylaspartate [12]. Additionally, sucrose is a </w:t>
      </w:r>
      <w:r>
        <w:rPr>
          <w:i/>
        </w:rPr>
        <w:t>C. difficile</w:t>
      </w:r>
      <w:r>
        <w:rPr/>
        <w:t xml:space="preserve"> growth substrate [28]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differences, we limited the analysis to the top 5 KEGG pathways with the most change between mock and </w:t>
      </w:r>
      <w:r>
        <w:rPr>
          <w:i/>
        </w:rPr>
        <w:t>C. difficile</w:t>
      </w:r>
      <w:r>
        <w:rPr/>
        <w:t xml:space="preserve">-infected conditions within each pretreatment (Fig. 5A). In streptomycin and clindamycin-pretreated mice, increased expression of KEGG pathways was observed in the </w:t>
      </w:r>
      <w:r>
        <w:rPr>
          <w:i/>
        </w:rPr>
        <w:t>C. difficile</w:t>
      </w:r>
      <w:r>
        <w:rPr/>
        <w:t xml:space="preserve">-infected metatranscriptomes. Both groups displayed large changes in amino sugar metabolism and ABC transporters, however other distinct carbon metabolism pathways had increased transcription.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 </w:t>
      </w:r>
      <w:r>
        <w:rPr>
          <w:i/>
        </w:rPr>
        <w:t>C. difficile</w:t>
      </w:r>
      <w:r>
        <w:rPr/>
        <w:t xml:space="preserve">. Conversely in cefoperazone-pretreated mice, a large number of genes were instead over-expressed in the absence of </w:t>
      </w:r>
      <w:r>
        <w:rPr>
          <w:i/>
        </w:rPr>
        <w:t>C. difficile</w:t>
      </w:r>
      <w:r>
        <w:rPr/>
        <w:t xml:space="preserve">. These pathways included the replication or manipulation of genetic material (i.e. RNA Processing, tRNA Synthesis, &amp; Homologous Recombination). Among the genes with increased transcription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increased transcription. </w:t>
      </w:r>
      <w:r>
        <w:rPr>
          <w:b/>
        </w:rPr>
        <w:t>(A)</w:t>
      </w:r>
      <w:r>
        <w:rPr/>
        <w:t xml:space="preserve"> Differences in read abundance for top 5 KEGG pathways with the largest amount of change between Mock and </w:t>
      </w:r>
      <w:r>
        <w:rPr>
          <w:i/>
        </w:rPr>
        <w:t>C. difficile</w:t>
      </w:r>
      <w:r>
        <w:rPr/>
        <w:t xml:space="preserve">-infected states within each antibiotic pretreatment.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t xml:space="preserve">We then performed a more fine-scale analysis of changes at the gene level, by selecting the genes in each antibiotic pretreatment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linear correlation to identify distinct patterns of expression (Fig. 6).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may differentially modify the transcriptional activity of separate microbial populations based on the context of the community in which it colonizes.</w:t>
      </w:r>
    </w:p>
    <w:p>
      <w:pPr>
        <w:pStyle w:val="Heading3"/>
        <w:rPr/>
      </w:pPr>
      <w:bookmarkStart w:id="5" w:name="discussion"/>
      <w:bookmarkEnd w:id="5"/>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6" w:name="materials-and-methods"/>
      <w:bookmarkEnd w:id="6"/>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rounding assay was performed as described elsewhere [19,47].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Heading3"/>
        <w:rPr/>
      </w:pPr>
      <w:bookmarkStart w:id="7" w:name="funding-information"/>
      <w:bookmarkEnd w:id="7"/>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8" w:name="acknowledgments"/>
      <w:bookmarkEnd w:id="8"/>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3">
        <w:r>
          <w:rPr>
            <w:rStyle w:val="InternetLink"/>
          </w:rPr>
          <w:t>https://github.com/mjenior/Jenior_Metatranscriptomics_PLOSPathogens_2017</w:t>
        </w:r>
      </w:hyperlink>
      <w:r>
        <w:rPr/>
        <w:t>.X</w:t>
      </w:r>
    </w:p>
    <w:p>
      <w:pPr>
        <w:pStyle w:val="TextBody"/>
        <w:rPr/>
      </w:pPr>
      <w:r>
        <w:rPr>
          <w:b/>
        </w:rPr>
        <w:t>Author Contributions</w:t>
      </w:r>
      <w:r>
        <w:rPr/>
        <w:t xml:space="preserve"> 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TextBody"/>
        <w:rPr/>
      </w:pPr>
      <w:r>
        <w:rPr>
          <w:b/>
        </w:rPr>
        <w:t>Competing Interests</w:t>
      </w:r>
      <w:r>
        <w:rPr/>
        <w:t xml:space="preserve"> The authors declare no conflicts of interest.</w:t>
      </w:r>
    </w:p>
    <w:p>
      <w:pPr>
        <w:pStyle w:val="Heading3"/>
        <w:rPr/>
      </w:pPr>
      <w:bookmarkStart w:id="9" w:name="supporting-information-captions"/>
      <w:bookmarkEnd w:id="9"/>
      <w:r>
        <w:rPr/>
        <w:t>Supporting Information Captions</w:t>
      </w:r>
    </w:p>
    <w:p>
      <w:pPr>
        <w:pStyle w:val="Normal"/>
        <w:rPr/>
      </w:pPr>
      <w:r>
        <w:rPr>
          <w:b/>
        </w:rPr>
        <w:t xml:space="preserve">Supporting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Supporting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Supporting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Supporting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Supporting Figure 5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TextBody"/>
        <w:rPr/>
      </w:pPr>
      <w:r>
        <w:rPr>
          <w:b/>
        </w:rPr>
        <w:t>Supporting Table 1 | Chosen antibiotic pretreatment regimes</w:t>
      </w:r>
      <w:r>
        <w:rPr/>
        <w:t xml:space="preserve"> Antibiotic classes, mechanisms, and dosage information for each pretreatment.</w:t>
      </w:r>
    </w:p>
    <w:p>
      <w:pPr>
        <w:pStyle w:val="TextBody"/>
        <w:rPr/>
      </w:pPr>
      <w:r>
        <w:rPr>
          <w:b/>
        </w:rPr>
        <w:t>Supporting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Supporting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Supporting Table 4 | Median scaled intensity of metabolites for each antibiotic pretreatment and infection group</w:t>
      </w:r>
    </w:p>
    <w:p>
      <w:pPr>
        <w:pStyle w:val="Heading3"/>
        <w:rPr/>
      </w:pPr>
      <w:bookmarkStart w:id="10" w:name="references"/>
      <w:bookmarkEnd w:id="10"/>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48. Kozich J, Westcott S, Baxter N, Highlander S, Schloss P.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pBdr/>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4">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43</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43</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before="18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PLOSPathogens_2017" TargetMode="External"/><Relationship Id="rId4" Type="http://schemas.openxmlformats.org/officeDocument/2006/relationships/hyperlink" Target="https://doi.org/10.1128/AAC.38.3.409" TargetMode="External"/><Relationship Id="rId5" Type="http://schemas.openxmlformats.org/officeDocument/2006/relationships/hyperlink" Target="file:///C:/Users/Matt Jenior/Desktop/Repositories/Jenior_Metatranscriptomics_eLife_2017/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LibreOffice/5.3.3.2$Windows_x86 LibreOffice_project/3d9a8b4b4e538a85e0782bd6c2d430bafe583448</Application>
  <Pages>43</Pages>
  <Words>10478</Words>
  <Characters>64330</Characters>
  <CharactersWithSpaces>74630</CharactersWithSpaces>
  <Paragraphs>131</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2017-11-12T14:06:19Z</dcterms:created>
  <dc:creator/>
  <dc:description/>
  <dc:language>en-US</dc:language>
  <cp:lastModifiedBy/>
  <dcterms:modified xsi:type="dcterms:W3CDTF">2017-11-12T09:07:34Z</dcterms:modified>
  <cp:revision>1</cp:revision>
  <dc:subject/>
  <dc:title>Clostridium difficile differentially alters the structure and metabolism of distinct cecal microbiomes to promote persistent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