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b/>
          <w:bCs/>
          <w:sz w:val="24"/>
          <w:szCs w:val="24"/>
        </w:rPr>
        <w:t>Title:</w:t>
      </w:r>
      <w:r>
        <w:rPr>
          <w:sz w:val="24"/>
          <w:szCs w:val="24"/>
        </w:rPr>
        <w:t xml:space="preserve"> </w:t>
      </w:r>
      <w:r>
        <w:rPr>
          <w:i/>
          <w:iCs/>
          <w:sz w:val="24"/>
          <w:szCs w:val="24"/>
        </w:rPr>
        <w:t xml:space="preserve">Clostridium difficile </w:t>
      </w:r>
      <w:r>
        <w:rPr>
          <w:sz w:val="24"/>
          <w:szCs w:val="24"/>
        </w:rPr>
        <w:t>differentially alters the structure and metabolism of distinct cecal microbiomes to promote persistent colonization during infection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Corresponding Author:</w:t>
      </w:r>
      <w:r>
        <w:rPr>
          <w:sz w:val="24"/>
          <w:szCs w:val="24"/>
        </w:rPr>
        <w:t xml:space="preserve"> Patrick D. Schloss</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osition w:val="0"/>
          <w:sz w:val="24"/>
          <w:vertAlign w:val="baseline"/>
        </w:rPr>
      </w:pPr>
      <w:r>
        <w:rPr>
          <w:position w:val="0"/>
          <w:sz w:val="24"/>
          <w:sz w:val="24"/>
          <w:szCs w:val="24"/>
          <w:vertAlign w:val="baseline"/>
        </w:rPr>
        <w:t>Patrick D. Schloss – pschloss@umich.edu</w:t>
      </w:r>
    </w:p>
    <w:p>
      <w:pPr>
        <w:pStyle w:val="Heading3"/>
        <w:rPr/>
      </w:pPr>
      <w:bookmarkStart w:id="0" w:name="abstract"/>
      <w:bookmarkEnd w:id="0"/>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1" w:name="introduction"/>
      <w:bookmarkEnd w:id="1"/>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2" w:name="results"/>
      <w:bookmarkEnd w:id="2"/>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cell load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load, varying levels of both cfu due to spores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chiroâinositol, malonate, erythritol, 4âguanidinobutanoate,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Nâmethylpipecolate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Nâcarbamoylaspartate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3" w:name="discussion"/>
      <w:bookmarkEnd w:id="3"/>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4" w:name="materials-and-methods"/>
      <w:bookmarkEnd w:id="4"/>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5" w:name="funding-information"/>
      <w:bookmarkEnd w:id="5"/>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6" w:name="acknowledgments"/>
      <w:bookmarkEnd w:id="6"/>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https://github.com/mjenior/Jenior_Metatranscriptomics_PLOSPathogens_2017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7" w:name="supporting-information-captions"/>
      <w:bookmarkEnd w:id="7"/>
      <w:r>
        <w:rPr/>
        <w:t>Supporting Information Captions</w:t>
      </w:r>
    </w:p>
    <w:p>
      <w:pPr>
        <w:pStyle w:val="Normal"/>
        <w:rPr/>
      </w:pPr>
      <w:r>
        <w:rPr>
          <w:b/>
        </w:rPr>
        <w:t xml:space="preserve">Supporting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Supporting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Supporting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Supporting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Supporting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Supporting Table 1 | Chosen antibiotic pretreatment regimes</w:t>
      </w:r>
      <w:r>
        <w:rPr/>
        <w:t xml:space="preserve"> Antibiotic classes, mechanisms, and dosage information for each pretreatment.</w:t>
      </w:r>
    </w:p>
    <w:p>
      <w:pPr>
        <w:pStyle w:val="TextBody"/>
        <w:rPr/>
      </w:pPr>
      <w:r>
        <w:rPr>
          <w:b/>
        </w:rPr>
        <w:t>Supporting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Supporting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Supporting Table 4 | Median scaled intensity of metabolites for each antibiotic pretreatment and infection group</w:t>
      </w:r>
    </w:p>
    <w:p>
      <w:pPr>
        <w:pStyle w:val="Heading3"/>
        <w:rPr/>
      </w:pPr>
      <w:bookmarkStart w:id="8" w:name="references"/>
      <w:bookmarkEnd w:id="8"/>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PLOSPathogens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43</Pages>
  <Words>10466</Words>
  <Characters>64210</Characters>
  <CharactersWithSpaces>74499</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2017-11-11T12:19:04Z</dcterms:created>
  <dc:creator/>
  <dc:description/>
  <dc:language>en-US</dc:language>
  <cp:lastModifiedBy/>
  <dcterms:modified xsi:type="dcterms:W3CDTF">2017-11-11T07:20:16Z</dcterms:modified>
  <cp:revision>1</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